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56" w:after="156"/>
        <w:ind w:firstLine="960"/>
        <w:jc w:val="center"/>
        <w:rPr>
          <w:rFonts w:ascii="黑体" w:hAnsi="黑体" w:eastAsia="黑体" w:cs="黑体"/>
          <w:sz w:val="48"/>
          <w:szCs w:val="48"/>
        </w:rPr>
      </w:pPr>
    </w:p>
    <w:p>
      <w:pPr>
        <w:spacing w:before="156" w:after="156" w:line="240" w:lineRule="auto"/>
        <w:ind w:firstLine="0" w:firstLineChars="0"/>
        <w:jc w:val="center"/>
        <w:rPr>
          <w:rFonts w:ascii="黑体" w:hAnsi="黑体" w:eastAsia="黑体" w:cs="黑体"/>
          <w:sz w:val="44"/>
          <w:szCs w:val="44"/>
        </w:rPr>
      </w:pPr>
      <w:r>
        <w:rPr>
          <w:rFonts w:hint="eastAsia" w:ascii="黑体" w:hAnsi="黑体" w:eastAsia="黑体" w:cs="黑体"/>
          <w:sz w:val="44"/>
          <w:szCs w:val="44"/>
        </w:rPr>
        <w:t>《场（厂）内专用机动车辆智慧安全监管系统</w:t>
      </w:r>
      <w:r>
        <w:rPr>
          <w:rFonts w:hint="eastAsia" w:ascii="黑体" w:hAnsi="黑体" w:eastAsia="黑体" w:cs="黑体"/>
          <w:sz w:val="44"/>
          <w:szCs w:val="44"/>
          <w:lang w:val="en-US" w:eastAsia="zh-CN"/>
        </w:rPr>
        <w:t>通用技术</w:t>
      </w:r>
      <w:r>
        <w:rPr>
          <w:rFonts w:hint="eastAsia" w:ascii="黑体" w:hAnsi="黑体" w:eastAsia="黑体" w:cs="黑体"/>
          <w:sz w:val="44"/>
          <w:szCs w:val="44"/>
        </w:rPr>
        <w:t>要求》</w:t>
      </w:r>
    </w:p>
    <w:p>
      <w:pPr>
        <w:jc w:val="center"/>
        <w:rPr>
          <w:rFonts w:ascii="黑体" w:hAnsi="黑体" w:eastAsia="黑体"/>
          <w:kern w:val="0"/>
          <w:sz w:val="28"/>
          <w:szCs w:val="21"/>
        </w:rPr>
      </w:pPr>
      <w:r>
        <w:rPr>
          <w:rFonts w:hint="eastAsia" w:ascii="黑体" w:hAnsi="黑体" w:eastAsia="黑体"/>
          <w:kern w:val="0"/>
          <w:sz w:val="28"/>
          <w:szCs w:val="21"/>
          <w:lang w:val="en-US" w:eastAsia="zh-CN"/>
        </w:rPr>
        <w:t>G</w:t>
      </w:r>
      <w:r>
        <w:rPr>
          <w:rFonts w:hint="eastAsia" w:ascii="黑体" w:hAnsi="黑体" w:eastAsia="黑体"/>
          <w:kern w:val="0"/>
          <w:sz w:val="28"/>
          <w:szCs w:val="21"/>
        </w:rPr>
        <w:t>eneral</w:t>
      </w:r>
      <w:r>
        <w:rPr>
          <w:rFonts w:hint="eastAsia" w:ascii="黑体" w:hAnsi="黑体" w:eastAsia="黑体"/>
          <w:kern w:val="0"/>
          <w:sz w:val="28"/>
          <w:szCs w:val="21"/>
          <w:lang w:val="en-US" w:eastAsia="zh-CN"/>
        </w:rPr>
        <w:t xml:space="preserve"> technical </w:t>
      </w:r>
      <w:r>
        <w:rPr>
          <w:rFonts w:ascii="黑体" w:hAnsi="黑体" w:eastAsia="黑体"/>
          <w:kern w:val="0"/>
          <w:sz w:val="28"/>
          <w:szCs w:val="21"/>
        </w:rPr>
        <w:t xml:space="preserve">requirements of intelligent safety supervision system for </w:t>
      </w:r>
      <w:r>
        <w:rPr>
          <w:rFonts w:hint="eastAsia" w:ascii="黑体" w:hAnsi="黑体" w:eastAsia="黑体"/>
          <w:kern w:val="0"/>
          <w:sz w:val="28"/>
          <w:szCs w:val="21"/>
        </w:rPr>
        <w:t>special purpose motor vehicles in special fields</w:t>
      </w:r>
    </w:p>
    <w:p>
      <w:pPr>
        <w:spacing w:before="156" w:after="156" w:line="240" w:lineRule="auto"/>
        <w:ind w:firstLine="0" w:firstLineChars="0"/>
        <w:jc w:val="center"/>
        <w:rPr>
          <w:rFonts w:ascii="黑体" w:hAnsi="黑体" w:eastAsia="黑体" w:cs="黑体"/>
          <w:sz w:val="32"/>
          <w:szCs w:val="32"/>
        </w:rPr>
      </w:pPr>
    </w:p>
    <w:p>
      <w:pPr>
        <w:spacing w:before="156" w:after="156" w:line="240" w:lineRule="auto"/>
        <w:ind w:firstLine="0" w:firstLineChars="0"/>
        <w:jc w:val="center"/>
        <w:rPr>
          <w:rFonts w:ascii="黑体" w:hAnsi="黑体" w:eastAsia="黑体" w:cs="黑体"/>
          <w:sz w:val="32"/>
          <w:szCs w:val="32"/>
        </w:rPr>
      </w:pPr>
    </w:p>
    <w:p>
      <w:pPr>
        <w:pStyle w:val="12"/>
        <w:ind w:firstLine="640"/>
        <w:outlineLvl w:val="9"/>
      </w:pPr>
    </w:p>
    <w:p>
      <w:pPr>
        <w:pStyle w:val="12"/>
        <w:ind w:firstLine="640"/>
        <w:outlineLvl w:val="9"/>
      </w:pPr>
    </w:p>
    <w:p>
      <w:pPr>
        <w:pStyle w:val="12"/>
        <w:ind w:firstLine="640"/>
        <w:outlineLvl w:val="9"/>
      </w:pPr>
    </w:p>
    <w:p>
      <w:pPr>
        <w:pStyle w:val="12"/>
        <w:ind w:firstLine="640"/>
        <w:outlineLvl w:val="9"/>
      </w:pPr>
    </w:p>
    <w:p>
      <w:pPr>
        <w:spacing w:before="156" w:after="156" w:line="240" w:lineRule="auto"/>
        <w:ind w:firstLine="0" w:firstLineChars="0"/>
        <w:jc w:val="center"/>
        <w:rPr>
          <w:rFonts w:ascii="黑体" w:hAnsi="黑体" w:eastAsia="黑体" w:cs="黑体"/>
          <w:sz w:val="52"/>
          <w:szCs w:val="52"/>
        </w:rPr>
      </w:pPr>
      <w:r>
        <w:rPr>
          <w:rFonts w:hint="eastAsia" w:ascii="黑体" w:hAnsi="黑体" w:eastAsia="黑体" w:cs="黑体"/>
          <w:sz w:val="72"/>
          <w:szCs w:val="72"/>
        </w:rPr>
        <w:t>编制说明</w:t>
      </w:r>
    </w:p>
    <w:p>
      <w:pPr>
        <w:spacing w:before="156" w:after="156" w:line="240" w:lineRule="auto"/>
        <w:ind w:firstLine="0" w:firstLineChars="0"/>
        <w:jc w:val="center"/>
        <w:rPr>
          <w:rFonts w:ascii="黑体" w:hAnsi="黑体" w:eastAsia="黑体" w:cs="黑体"/>
          <w:sz w:val="52"/>
          <w:szCs w:val="52"/>
        </w:rPr>
      </w:pPr>
    </w:p>
    <w:p>
      <w:pPr>
        <w:spacing w:before="156" w:after="156" w:line="240" w:lineRule="auto"/>
        <w:ind w:firstLine="0" w:firstLineChars="0"/>
        <w:jc w:val="center"/>
        <w:rPr>
          <w:rFonts w:ascii="黑体" w:hAnsi="黑体" w:eastAsia="黑体" w:cs="黑体"/>
          <w:sz w:val="52"/>
          <w:szCs w:val="52"/>
        </w:rPr>
      </w:pPr>
    </w:p>
    <w:p>
      <w:pPr>
        <w:spacing w:before="156" w:after="156" w:line="240" w:lineRule="auto"/>
        <w:ind w:firstLine="0" w:firstLineChars="0"/>
        <w:jc w:val="center"/>
        <w:rPr>
          <w:rFonts w:ascii="黑体" w:hAnsi="黑体" w:eastAsia="黑体" w:cs="黑体"/>
          <w:sz w:val="52"/>
          <w:szCs w:val="52"/>
        </w:rPr>
      </w:pPr>
    </w:p>
    <w:p>
      <w:pPr>
        <w:spacing w:before="156" w:after="156" w:line="240" w:lineRule="auto"/>
        <w:ind w:firstLine="0" w:firstLineChars="0"/>
        <w:jc w:val="center"/>
        <w:rPr>
          <w:rFonts w:ascii="黑体" w:hAnsi="黑体" w:eastAsia="黑体" w:cs="黑体"/>
          <w:sz w:val="40"/>
          <w:szCs w:val="40"/>
        </w:rPr>
      </w:pPr>
      <w:r>
        <w:rPr>
          <w:rFonts w:hint="eastAsia" w:ascii="黑体" w:hAnsi="黑体" w:eastAsia="黑体" w:cs="黑体"/>
          <w:sz w:val="40"/>
          <w:szCs w:val="40"/>
        </w:rPr>
        <w:t>《</w:t>
      </w:r>
      <w:r>
        <w:rPr>
          <w:rFonts w:hint="eastAsia" w:ascii="黑体" w:hAnsi="黑体" w:eastAsia="黑体" w:cs="黑体"/>
          <w:sz w:val="44"/>
          <w:szCs w:val="44"/>
        </w:rPr>
        <w:t>场（厂）内专用机动车辆智慧安全监管系统基本要求</w:t>
      </w:r>
      <w:r>
        <w:rPr>
          <w:rFonts w:hint="eastAsia" w:ascii="黑体" w:hAnsi="黑体" w:eastAsia="黑体" w:cs="黑体"/>
          <w:sz w:val="40"/>
          <w:szCs w:val="40"/>
        </w:rPr>
        <w:t>》标准编制工作组</w:t>
      </w:r>
    </w:p>
    <w:p>
      <w:pPr>
        <w:spacing w:before="156" w:after="156" w:line="240" w:lineRule="auto"/>
        <w:ind w:firstLine="0" w:firstLineChars="0"/>
        <w:jc w:val="center"/>
        <w:rPr>
          <w:rFonts w:ascii="黑体" w:hAnsi="黑体" w:eastAsia="黑体" w:cs="黑体"/>
          <w:sz w:val="40"/>
          <w:szCs w:val="40"/>
        </w:rPr>
      </w:pPr>
      <w:r>
        <w:rPr>
          <w:rFonts w:ascii="黑体" w:hAnsi="黑体" w:eastAsia="黑体" w:cs="黑体"/>
          <w:sz w:val="40"/>
          <w:szCs w:val="40"/>
        </w:rPr>
        <w:t>202</w:t>
      </w:r>
      <w:r>
        <w:rPr>
          <w:rFonts w:hint="eastAsia" w:ascii="黑体" w:hAnsi="黑体" w:eastAsia="黑体" w:cs="黑体"/>
          <w:sz w:val="40"/>
          <w:szCs w:val="40"/>
          <w:lang w:val="en-US" w:eastAsia="zh-CN"/>
        </w:rPr>
        <w:t>4</w:t>
      </w:r>
      <w:r>
        <w:rPr>
          <w:rFonts w:hint="eastAsia" w:ascii="黑体" w:hAnsi="黑体" w:eastAsia="黑体" w:cs="黑体"/>
          <w:sz w:val="40"/>
          <w:szCs w:val="40"/>
        </w:rPr>
        <w:t>年</w:t>
      </w:r>
      <w:r>
        <w:rPr>
          <w:rFonts w:hint="eastAsia" w:ascii="黑体" w:hAnsi="黑体" w:eastAsia="黑体" w:cs="黑体"/>
          <w:sz w:val="40"/>
          <w:szCs w:val="40"/>
          <w:lang w:val="en-US" w:eastAsia="zh-CN"/>
        </w:rPr>
        <w:t>9</w:t>
      </w:r>
      <w:r>
        <w:rPr>
          <w:rFonts w:hint="eastAsia" w:ascii="黑体" w:hAnsi="黑体" w:eastAsia="黑体" w:cs="黑体"/>
          <w:sz w:val="40"/>
          <w:szCs w:val="40"/>
        </w:rPr>
        <w:t>月</w:t>
      </w:r>
    </w:p>
    <w:p>
      <w:pPr>
        <w:spacing w:before="156" w:after="156" w:line="240" w:lineRule="auto"/>
        <w:ind w:firstLine="0" w:firstLineChars="0"/>
        <w:jc w:val="center"/>
        <w:rPr>
          <w:rFonts w:ascii="黑体" w:hAnsi="黑体" w:eastAsia="黑体" w:cs="黑体"/>
          <w:sz w:val="40"/>
          <w:szCs w:val="40"/>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pPr>
        <w:spacing w:before="156" w:after="156" w:line="240" w:lineRule="auto"/>
        <w:ind w:firstLine="0" w:firstLineChars="0"/>
        <w:jc w:val="center"/>
        <w:rPr>
          <w:rFonts w:ascii="黑体" w:hAnsi="黑体" w:eastAsia="黑体" w:cs="黑体"/>
          <w:sz w:val="40"/>
          <w:szCs w:val="40"/>
        </w:rPr>
      </w:pPr>
      <w:r>
        <w:rPr>
          <w:rFonts w:hint="eastAsia" w:ascii="黑体" w:hAnsi="黑体" w:eastAsia="黑体" w:cs="黑体"/>
          <w:sz w:val="40"/>
          <w:szCs w:val="40"/>
        </w:rPr>
        <w:t>目录</w:t>
      </w:r>
    </w:p>
    <w:sdt>
      <w:sdtPr>
        <w:rPr>
          <w:rFonts w:ascii="宋体" w:hAnsi="宋体" w:eastAsia="宋体" w:cs="Arial"/>
          <w:snapToGrid w:val="0"/>
          <w:color w:val="000000"/>
          <w:sz w:val="21"/>
          <w:szCs w:val="21"/>
          <w:lang w:val="en-US" w:eastAsia="zh-CN" w:bidi="ar-SA"/>
        </w:rPr>
        <w:id w:val="147465856"/>
        <w15:color w:val="DBDBDB"/>
        <w:docPartObj>
          <w:docPartGallery w:val="Table of Contents"/>
          <w:docPartUnique/>
        </w:docPartObj>
      </w:sdtPr>
      <w:sdtEndPr>
        <w:rPr>
          <w:rFonts w:ascii="黑体" w:hAnsi="黑体" w:eastAsia="黑体" w:cs="黑体"/>
          <w:b/>
          <w:bCs/>
          <w:snapToGrid w:val="0"/>
          <w:color w:val="000000"/>
          <w:kern w:val="44"/>
          <w:sz w:val="44"/>
          <w:szCs w:val="18"/>
          <w:lang w:val="en-US" w:eastAsia="zh-CN" w:bidi="ar-SA"/>
        </w:rPr>
      </w:sdtEndPr>
      <w:sdtContent>
        <w:p>
          <w:pPr>
            <w:spacing w:before="0" w:beforeLines="0" w:after="0" w:afterLines="0" w:line="240" w:lineRule="auto"/>
            <w:ind w:left="0" w:leftChars="0" w:right="0" w:rightChars="0" w:firstLine="0" w:firstLineChars="0"/>
            <w:jc w:val="center"/>
          </w:pPr>
        </w:p>
        <w:p>
          <w:pPr>
            <w:pStyle w:val="10"/>
            <w:tabs>
              <w:tab w:val="right" w:leader="dot" w:pos="8306"/>
            </w:tabs>
            <w:ind w:left="0" w:leftChars="0" w:firstLine="478" w:firstLineChars="133"/>
          </w:pPr>
          <w:r>
            <w:rPr>
              <w:rFonts w:ascii="黑体" w:hAnsi="黑体" w:eastAsia="黑体" w:cs="黑体"/>
              <w:b w:val="0"/>
              <w:bCs/>
              <w:sz w:val="36"/>
              <w:szCs w:val="18"/>
            </w:rPr>
            <w:fldChar w:fldCharType="begin"/>
          </w:r>
          <w:r>
            <w:rPr>
              <w:rFonts w:ascii="黑体" w:hAnsi="黑体" w:eastAsia="黑体" w:cs="黑体"/>
              <w:b w:val="0"/>
              <w:bCs/>
              <w:sz w:val="36"/>
              <w:szCs w:val="18"/>
            </w:rPr>
            <w:instrText xml:space="preserve">TOC \o "1-1" \h \u </w:instrText>
          </w:r>
          <w:r>
            <w:rPr>
              <w:rFonts w:ascii="黑体" w:hAnsi="黑体" w:eastAsia="黑体" w:cs="黑体"/>
              <w:b w:val="0"/>
              <w:bCs/>
              <w:sz w:val="36"/>
              <w:szCs w:val="18"/>
            </w:rPr>
            <w:fldChar w:fldCharType="separate"/>
          </w:r>
          <w:r>
            <w:rPr>
              <w:rFonts w:ascii="黑体" w:hAnsi="黑体" w:eastAsia="黑体" w:cs="黑体"/>
              <w:bCs/>
              <w:szCs w:val="18"/>
            </w:rPr>
            <w:fldChar w:fldCharType="begin"/>
          </w:r>
          <w:r>
            <w:rPr>
              <w:rFonts w:ascii="黑体" w:hAnsi="黑体" w:eastAsia="黑体" w:cs="黑体"/>
              <w:bCs/>
              <w:szCs w:val="18"/>
            </w:rPr>
            <w:instrText xml:space="preserve"> HYPERLINK \l _Toc31816 </w:instrText>
          </w:r>
          <w:r>
            <w:rPr>
              <w:rFonts w:ascii="黑体" w:hAnsi="黑体" w:eastAsia="黑体" w:cs="黑体"/>
              <w:bCs/>
              <w:szCs w:val="18"/>
            </w:rPr>
            <w:fldChar w:fldCharType="separate"/>
          </w:r>
          <w:r>
            <w:rPr>
              <w:rFonts w:hint="eastAsia"/>
            </w:rPr>
            <w:t>一、目的和意义</w:t>
          </w:r>
          <w:r>
            <w:tab/>
          </w:r>
          <w:r>
            <w:fldChar w:fldCharType="begin"/>
          </w:r>
          <w:r>
            <w:instrText xml:space="preserve"> PAGEREF _Toc31816 \h </w:instrText>
          </w:r>
          <w:r>
            <w:fldChar w:fldCharType="separate"/>
          </w:r>
          <w:r>
            <w:t>1</w:t>
          </w:r>
          <w:r>
            <w:fldChar w:fldCharType="end"/>
          </w:r>
          <w:r>
            <w:rPr>
              <w:rFonts w:ascii="黑体" w:hAnsi="黑体" w:eastAsia="黑体" w:cs="黑体"/>
              <w:bCs/>
              <w:szCs w:val="18"/>
            </w:rPr>
            <w:fldChar w:fldCharType="end"/>
          </w:r>
        </w:p>
        <w:p>
          <w:pPr>
            <w:pStyle w:val="10"/>
            <w:tabs>
              <w:tab w:val="right" w:leader="dot" w:pos="8306"/>
            </w:tabs>
          </w:pPr>
          <w:r>
            <w:rPr>
              <w:rFonts w:ascii="黑体" w:hAnsi="黑体" w:eastAsia="黑体" w:cs="黑体"/>
              <w:bCs/>
              <w:szCs w:val="18"/>
            </w:rPr>
            <w:fldChar w:fldCharType="begin"/>
          </w:r>
          <w:r>
            <w:rPr>
              <w:rFonts w:ascii="黑体" w:hAnsi="黑体" w:eastAsia="黑体" w:cs="黑体"/>
              <w:bCs/>
              <w:szCs w:val="18"/>
            </w:rPr>
            <w:instrText xml:space="preserve"> HYPERLINK \l _Toc5229 </w:instrText>
          </w:r>
          <w:r>
            <w:rPr>
              <w:rFonts w:ascii="黑体" w:hAnsi="黑体" w:eastAsia="黑体" w:cs="黑体"/>
              <w:bCs/>
              <w:szCs w:val="18"/>
            </w:rPr>
            <w:fldChar w:fldCharType="separate"/>
          </w:r>
          <w:r>
            <w:rPr>
              <w:rFonts w:hint="eastAsia"/>
            </w:rPr>
            <w:t>二</w:t>
          </w:r>
          <w:r>
            <w:rPr>
              <w:rFonts w:hint="eastAsia"/>
              <w:lang w:eastAsia="zh-CN"/>
            </w:rPr>
            <w:t>、</w:t>
          </w:r>
          <w:r>
            <w:rPr>
              <w:rFonts w:hint="eastAsia"/>
            </w:rPr>
            <w:t>任务来源</w:t>
          </w:r>
          <w:r>
            <w:tab/>
          </w:r>
          <w:r>
            <w:fldChar w:fldCharType="begin"/>
          </w:r>
          <w:r>
            <w:instrText xml:space="preserve"> PAGEREF _Toc5229 \h </w:instrText>
          </w:r>
          <w:r>
            <w:fldChar w:fldCharType="separate"/>
          </w:r>
          <w:r>
            <w:t>3</w:t>
          </w:r>
          <w:r>
            <w:fldChar w:fldCharType="end"/>
          </w:r>
          <w:r>
            <w:rPr>
              <w:rFonts w:ascii="黑体" w:hAnsi="黑体" w:eastAsia="黑体" w:cs="黑体"/>
              <w:bCs/>
              <w:szCs w:val="18"/>
            </w:rPr>
            <w:fldChar w:fldCharType="end"/>
          </w:r>
        </w:p>
        <w:p>
          <w:pPr>
            <w:pStyle w:val="10"/>
            <w:tabs>
              <w:tab w:val="right" w:leader="dot" w:pos="8306"/>
            </w:tabs>
          </w:pPr>
          <w:r>
            <w:rPr>
              <w:rFonts w:ascii="黑体" w:hAnsi="黑体" w:eastAsia="黑体" w:cs="黑体"/>
              <w:bCs/>
              <w:szCs w:val="18"/>
            </w:rPr>
            <w:fldChar w:fldCharType="begin"/>
          </w:r>
          <w:r>
            <w:rPr>
              <w:rFonts w:ascii="黑体" w:hAnsi="黑体" w:eastAsia="黑体" w:cs="黑体"/>
              <w:bCs/>
              <w:szCs w:val="18"/>
            </w:rPr>
            <w:instrText xml:space="preserve"> HYPERLINK \l _Toc31270 </w:instrText>
          </w:r>
          <w:r>
            <w:rPr>
              <w:rFonts w:ascii="黑体" w:hAnsi="黑体" w:eastAsia="黑体" w:cs="黑体"/>
              <w:bCs/>
              <w:szCs w:val="18"/>
            </w:rPr>
            <w:fldChar w:fldCharType="separate"/>
          </w:r>
          <w:r>
            <w:rPr>
              <w:rFonts w:hint="eastAsia"/>
            </w:rPr>
            <w:t>三、编制过程</w:t>
          </w:r>
          <w:r>
            <w:tab/>
          </w:r>
          <w:r>
            <w:fldChar w:fldCharType="begin"/>
          </w:r>
          <w:r>
            <w:instrText xml:space="preserve"> PAGEREF _Toc31270 \h </w:instrText>
          </w:r>
          <w:r>
            <w:fldChar w:fldCharType="separate"/>
          </w:r>
          <w:r>
            <w:t>3</w:t>
          </w:r>
          <w:r>
            <w:fldChar w:fldCharType="end"/>
          </w:r>
          <w:r>
            <w:rPr>
              <w:rFonts w:ascii="黑体" w:hAnsi="黑体" w:eastAsia="黑体" w:cs="黑体"/>
              <w:bCs/>
              <w:szCs w:val="18"/>
            </w:rPr>
            <w:fldChar w:fldCharType="end"/>
          </w:r>
        </w:p>
        <w:p>
          <w:pPr>
            <w:pStyle w:val="10"/>
            <w:tabs>
              <w:tab w:val="right" w:leader="dot" w:pos="8306"/>
            </w:tabs>
          </w:pPr>
          <w:r>
            <w:rPr>
              <w:rFonts w:ascii="黑体" w:hAnsi="黑体" w:eastAsia="黑体" w:cs="黑体"/>
              <w:bCs/>
              <w:szCs w:val="18"/>
            </w:rPr>
            <w:fldChar w:fldCharType="begin"/>
          </w:r>
          <w:r>
            <w:rPr>
              <w:rFonts w:ascii="黑体" w:hAnsi="黑体" w:eastAsia="黑体" w:cs="黑体"/>
              <w:bCs/>
              <w:szCs w:val="18"/>
            </w:rPr>
            <w:instrText xml:space="preserve"> HYPERLINK \l _Toc6131 </w:instrText>
          </w:r>
          <w:r>
            <w:rPr>
              <w:rFonts w:ascii="黑体" w:hAnsi="黑体" w:eastAsia="黑体" w:cs="黑体"/>
              <w:bCs/>
              <w:szCs w:val="18"/>
            </w:rPr>
            <w:fldChar w:fldCharType="separate"/>
          </w:r>
          <w:r>
            <w:rPr>
              <w:rFonts w:hint="eastAsia"/>
            </w:rPr>
            <w:t>四</w:t>
          </w:r>
          <w:r>
            <w:t>.</w:t>
          </w:r>
          <w:r>
            <w:rPr>
              <w:rFonts w:hint="eastAsia"/>
            </w:rPr>
            <w:t>主要内容</w:t>
          </w:r>
          <w:r>
            <w:rPr>
              <w:rFonts w:hint="eastAsia"/>
              <w:lang w:eastAsia="zh-CN"/>
            </w:rPr>
            <w:t>及</w:t>
          </w:r>
          <w:r>
            <w:rPr>
              <w:rFonts w:hint="eastAsia"/>
            </w:rPr>
            <w:t>技术</w:t>
          </w:r>
          <w:r>
            <w:t>指标确立</w:t>
          </w:r>
          <w:r>
            <w:rPr>
              <w:rFonts w:hint="eastAsia"/>
              <w:lang w:eastAsia="zh-CN"/>
            </w:rPr>
            <w:t>的依据</w:t>
          </w:r>
          <w:r>
            <w:tab/>
          </w:r>
          <w:r>
            <w:fldChar w:fldCharType="begin"/>
          </w:r>
          <w:r>
            <w:instrText xml:space="preserve"> PAGEREF _Toc6131 \h </w:instrText>
          </w:r>
          <w:r>
            <w:fldChar w:fldCharType="separate"/>
          </w:r>
          <w:r>
            <w:t>6</w:t>
          </w:r>
          <w:r>
            <w:fldChar w:fldCharType="end"/>
          </w:r>
          <w:r>
            <w:rPr>
              <w:rFonts w:ascii="黑体" w:hAnsi="黑体" w:eastAsia="黑体" w:cs="黑体"/>
              <w:bCs/>
              <w:szCs w:val="18"/>
            </w:rPr>
            <w:fldChar w:fldCharType="end"/>
          </w:r>
        </w:p>
        <w:p>
          <w:pPr>
            <w:pStyle w:val="10"/>
            <w:tabs>
              <w:tab w:val="right" w:leader="dot" w:pos="8306"/>
            </w:tabs>
          </w:pPr>
          <w:r>
            <w:rPr>
              <w:rFonts w:ascii="黑体" w:hAnsi="黑体" w:eastAsia="黑体" w:cs="黑体"/>
              <w:bCs/>
              <w:szCs w:val="18"/>
            </w:rPr>
            <w:fldChar w:fldCharType="begin"/>
          </w:r>
          <w:r>
            <w:rPr>
              <w:rFonts w:ascii="黑体" w:hAnsi="黑体" w:eastAsia="黑体" w:cs="黑体"/>
              <w:bCs/>
              <w:szCs w:val="18"/>
            </w:rPr>
            <w:instrText xml:space="preserve"> HYPERLINK \l _Toc1359 </w:instrText>
          </w:r>
          <w:r>
            <w:rPr>
              <w:rFonts w:ascii="黑体" w:hAnsi="黑体" w:eastAsia="黑体" w:cs="黑体"/>
              <w:bCs/>
              <w:szCs w:val="18"/>
            </w:rPr>
            <w:fldChar w:fldCharType="separate"/>
          </w:r>
          <w:r>
            <w:rPr>
              <w:rFonts w:hint="eastAsia"/>
            </w:rPr>
            <w:t>五、重大分歧意见的处理过程和依据</w:t>
          </w:r>
          <w:r>
            <w:tab/>
          </w:r>
          <w:r>
            <w:fldChar w:fldCharType="begin"/>
          </w:r>
          <w:r>
            <w:instrText xml:space="preserve"> PAGEREF _Toc1359 \h </w:instrText>
          </w:r>
          <w:r>
            <w:fldChar w:fldCharType="separate"/>
          </w:r>
          <w:r>
            <w:t>9</w:t>
          </w:r>
          <w:r>
            <w:fldChar w:fldCharType="end"/>
          </w:r>
          <w:r>
            <w:rPr>
              <w:rFonts w:ascii="黑体" w:hAnsi="黑体" w:eastAsia="黑体" w:cs="黑体"/>
              <w:bCs/>
              <w:szCs w:val="18"/>
            </w:rPr>
            <w:fldChar w:fldCharType="end"/>
          </w:r>
        </w:p>
        <w:p>
          <w:pPr>
            <w:pStyle w:val="10"/>
            <w:tabs>
              <w:tab w:val="right" w:leader="dot" w:pos="8306"/>
            </w:tabs>
          </w:pPr>
          <w:r>
            <w:rPr>
              <w:rFonts w:ascii="黑体" w:hAnsi="黑体" w:eastAsia="黑体" w:cs="黑体"/>
              <w:bCs/>
              <w:szCs w:val="18"/>
            </w:rPr>
            <w:fldChar w:fldCharType="begin"/>
          </w:r>
          <w:r>
            <w:rPr>
              <w:rFonts w:ascii="黑体" w:hAnsi="黑体" w:eastAsia="黑体" w:cs="黑体"/>
              <w:bCs/>
              <w:szCs w:val="18"/>
            </w:rPr>
            <w:instrText xml:space="preserve"> HYPERLINK \l _Toc3550 </w:instrText>
          </w:r>
          <w:r>
            <w:rPr>
              <w:rFonts w:ascii="黑体" w:hAnsi="黑体" w:eastAsia="黑体" w:cs="黑体"/>
              <w:bCs/>
              <w:szCs w:val="18"/>
            </w:rPr>
            <w:fldChar w:fldCharType="separate"/>
          </w:r>
          <w:r>
            <w:rPr>
              <w:rFonts w:hint="eastAsia"/>
              <w:lang w:eastAsia="zh-CN"/>
            </w:rPr>
            <w:t>六、</w:t>
          </w:r>
          <w:r>
            <w:rPr>
              <w:rFonts w:hint="eastAsia"/>
            </w:rPr>
            <w:t>与相关法律法规和国家标准的关系</w:t>
          </w:r>
          <w:r>
            <w:tab/>
          </w:r>
          <w:r>
            <w:fldChar w:fldCharType="begin"/>
          </w:r>
          <w:r>
            <w:instrText xml:space="preserve"> PAGEREF _Toc3550 \h </w:instrText>
          </w:r>
          <w:r>
            <w:fldChar w:fldCharType="separate"/>
          </w:r>
          <w:r>
            <w:t>10</w:t>
          </w:r>
          <w:r>
            <w:fldChar w:fldCharType="end"/>
          </w:r>
          <w:r>
            <w:rPr>
              <w:rFonts w:ascii="黑体" w:hAnsi="黑体" w:eastAsia="黑体" w:cs="黑体"/>
              <w:bCs/>
              <w:szCs w:val="18"/>
            </w:rPr>
            <w:fldChar w:fldCharType="end"/>
          </w:r>
        </w:p>
        <w:p>
          <w:pPr>
            <w:pStyle w:val="10"/>
            <w:tabs>
              <w:tab w:val="right" w:leader="dot" w:pos="8306"/>
            </w:tabs>
          </w:pPr>
          <w:r>
            <w:rPr>
              <w:rFonts w:ascii="黑体" w:hAnsi="黑体" w:eastAsia="黑体" w:cs="黑体"/>
              <w:bCs/>
              <w:szCs w:val="18"/>
            </w:rPr>
            <w:fldChar w:fldCharType="begin"/>
          </w:r>
          <w:r>
            <w:rPr>
              <w:rFonts w:ascii="黑体" w:hAnsi="黑体" w:eastAsia="黑体" w:cs="黑体"/>
              <w:bCs/>
              <w:szCs w:val="18"/>
            </w:rPr>
            <w:instrText xml:space="preserve"> HYPERLINK \l _Toc21369 </w:instrText>
          </w:r>
          <w:r>
            <w:rPr>
              <w:rFonts w:ascii="黑体" w:hAnsi="黑体" w:eastAsia="黑体" w:cs="黑体"/>
              <w:bCs/>
              <w:szCs w:val="18"/>
            </w:rPr>
            <w:fldChar w:fldCharType="separate"/>
          </w:r>
          <w:r>
            <w:rPr>
              <w:rFonts w:hint="eastAsia"/>
              <w:lang w:eastAsia="zh-CN"/>
            </w:rPr>
            <w:t>七</w:t>
          </w:r>
          <w:r>
            <w:rPr>
              <w:rFonts w:hint="eastAsia"/>
            </w:rPr>
            <w:t>、</w:t>
          </w:r>
          <w:r>
            <w:rPr>
              <w:rFonts w:hint="eastAsia"/>
              <w:lang w:eastAsia="zh-CN"/>
            </w:rPr>
            <w:t>推广</w:t>
          </w:r>
          <w:r>
            <w:rPr>
              <w:rFonts w:hint="eastAsia"/>
            </w:rPr>
            <w:t>实施建议</w:t>
          </w:r>
          <w:r>
            <w:tab/>
          </w:r>
          <w:r>
            <w:fldChar w:fldCharType="begin"/>
          </w:r>
          <w:r>
            <w:instrText xml:space="preserve"> PAGEREF _Toc21369 \h </w:instrText>
          </w:r>
          <w:r>
            <w:fldChar w:fldCharType="separate"/>
          </w:r>
          <w:r>
            <w:t>12</w:t>
          </w:r>
          <w:r>
            <w:fldChar w:fldCharType="end"/>
          </w:r>
          <w:r>
            <w:rPr>
              <w:rFonts w:ascii="黑体" w:hAnsi="黑体" w:eastAsia="黑体" w:cs="黑体"/>
              <w:bCs/>
              <w:szCs w:val="18"/>
            </w:rPr>
            <w:fldChar w:fldCharType="end"/>
          </w:r>
        </w:p>
        <w:p>
          <w:pPr>
            <w:pStyle w:val="10"/>
            <w:tabs>
              <w:tab w:val="right" w:leader="dot" w:pos="8306"/>
            </w:tabs>
          </w:pPr>
          <w:r>
            <w:rPr>
              <w:rFonts w:ascii="黑体" w:hAnsi="黑体" w:eastAsia="黑体" w:cs="黑体"/>
              <w:bCs/>
              <w:szCs w:val="18"/>
            </w:rPr>
            <w:fldChar w:fldCharType="begin"/>
          </w:r>
          <w:r>
            <w:rPr>
              <w:rFonts w:ascii="黑体" w:hAnsi="黑体" w:eastAsia="黑体" w:cs="黑体"/>
              <w:bCs/>
              <w:szCs w:val="18"/>
            </w:rPr>
            <w:instrText xml:space="preserve"> HYPERLINK \l _Toc12607 </w:instrText>
          </w:r>
          <w:r>
            <w:rPr>
              <w:rFonts w:ascii="黑体" w:hAnsi="黑体" w:eastAsia="黑体" w:cs="黑体"/>
              <w:bCs/>
              <w:szCs w:val="18"/>
            </w:rPr>
            <w:fldChar w:fldCharType="separate"/>
          </w:r>
          <w:r>
            <w:rPr>
              <w:rFonts w:hint="eastAsia"/>
              <w:lang w:eastAsia="zh-CN"/>
            </w:rPr>
            <w:t>八、 起草单位和起草人员信息及分工</w:t>
          </w:r>
          <w:r>
            <w:tab/>
          </w:r>
          <w:r>
            <w:fldChar w:fldCharType="begin"/>
          </w:r>
          <w:r>
            <w:instrText xml:space="preserve"> PAGEREF _Toc12607 \h </w:instrText>
          </w:r>
          <w:r>
            <w:fldChar w:fldCharType="separate"/>
          </w:r>
          <w:r>
            <w:t>12</w:t>
          </w:r>
          <w:r>
            <w:fldChar w:fldCharType="end"/>
          </w:r>
          <w:r>
            <w:rPr>
              <w:rFonts w:ascii="黑体" w:hAnsi="黑体" w:eastAsia="黑体" w:cs="黑体"/>
              <w:bCs/>
              <w:szCs w:val="18"/>
            </w:rPr>
            <w:fldChar w:fldCharType="end"/>
          </w:r>
        </w:p>
        <w:p>
          <w:pPr>
            <w:pStyle w:val="2"/>
            <w:spacing w:line="360" w:lineRule="auto"/>
            <w:ind w:firstLine="0" w:firstLineChars="0"/>
            <w:outlineLvl w:val="9"/>
            <w:rPr>
              <w:rFonts w:ascii="黑体" w:hAnsi="黑体" w:eastAsia="黑体" w:cs="黑体"/>
              <w:b/>
              <w:bCs/>
              <w:snapToGrid w:val="0"/>
              <w:color w:val="000000"/>
              <w:kern w:val="44"/>
              <w:sz w:val="44"/>
              <w:szCs w:val="18"/>
              <w:lang w:val="en-US" w:eastAsia="zh-CN" w:bidi="ar-SA"/>
            </w:rPr>
          </w:pPr>
          <w:r>
            <w:rPr>
              <w:rFonts w:ascii="黑体" w:hAnsi="黑体" w:eastAsia="黑体" w:cs="黑体"/>
              <w:bCs/>
              <w:szCs w:val="18"/>
            </w:rPr>
            <w:fldChar w:fldCharType="end"/>
          </w:r>
        </w:p>
      </w:sdtContent>
    </w:sdt>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493"/>
        </w:tabs>
        <w:bidi w:val="0"/>
        <w:jc w:val="left"/>
        <w:rPr>
          <w:rFonts w:hint="eastAsia"/>
          <w:lang w:eastAsia="zh-CN"/>
        </w:rPr>
        <w:sectPr>
          <w:footerReference r:id="rId11" w:type="default"/>
          <w:pgSz w:w="11906" w:h="16838"/>
          <w:pgMar w:top="1440" w:right="1800" w:bottom="1440" w:left="1800" w:header="851" w:footer="992" w:gutter="0"/>
          <w:cols w:space="425" w:num="1"/>
          <w:docGrid w:type="lines" w:linePitch="312" w:charSpace="0"/>
        </w:sectPr>
      </w:pPr>
    </w:p>
    <w:p>
      <w:pPr>
        <w:pStyle w:val="5"/>
        <w:bidi w:val="0"/>
        <w:outlineLvl w:val="0"/>
      </w:pPr>
      <w:bookmarkStart w:id="0" w:name="_Toc31816"/>
      <w:r>
        <w:rPr>
          <w:rFonts w:hint="eastAsia"/>
        </w:rPr>
        <w:t>一、目的和意义</w:t>
      </w:r>
      <w:bookmarkEnd w:id="0"/>
    </w:p>
    <w:p>
      <w:pPr>
        <w:spacing w:beforeLines="0" w:afterLines="0"/>
        <w:ind w:firstLine="480"/>
        <w:rPr>
          <w:rFonts w:asciiTheme="minorEastAsia" w:hAnsiTheme="minorEastAsia" w:eastAsiaTheme="minorEastAsia"/>
          <w:sz w:val="28"/>
          <w:szCs w:val="28"/>
        </w:rPr>
      </w:pPr>
      <w:r>
        <w:rPr>
          <w:rFonts w:hint="eastAsia" w:asciiTheme="minorEastAsia" w:hAnsiTheme="minorEastAsia" w:eastAsiaTheme="minorEastAsia"/>
          <w:sz w:val="28"/>
          <w:szCs w:val="28"/>
        </w:rPr>
        <w:t>随着仓储物流业和旅游业的迅速发展，对于场（厂）内专用机动车辆（以下简称场车）的需求也是迅猛增加。与此同时场车事故频发，场车的安全使用越来越重要，提高车辆的本质安全，提升政府监管效能也越来越迫切了。</w:t>
      </w:r>
    </w:p>
    <w:p>
      <w:pPr>
        <w:spacing w:beforeLines="0" w:afterLines="0"/>
        <w:ind w:firstLine="480"/>
        <w:rPr>
          <w:rFonts w:asciiTheme="minorEastAsia" w:hAnsiTheme="minorEastAsia" w:eastAsiaTheme="minorEastAsia"/>
          <w:sz w:val="28"/>
          <w:szCs w:val="28"/>
        </w:rPr>
      </w:pPr>
      <w:r>
        <w:rPr>
          <w:rFonts w:hint="eastAsia" w:asciiTheme="minorEastAsia" w:hAnsiTheme="minorEastAsia" w:eastAsiaTheme="minorEastAsia"/>
          <w:sz w:val="28"/>
          <w:szCs w:val="28"/>
        </w:rPr>
        <w:t>2016-2020年，江苏省发生101起特种设备事故中，其中，场车共发生事故50起，事故总数位居第1位， 以上数据仅仅是统计发生在“工厂厂区、旅游景区、游乐场所（三区）”内认定为特种设备事故的叉车事故，并不包含发生在道路交通或认定为特种设备相关事故的叉车事故。可以说，场车是特种设备中事故率最高、死亡率最高的。场车的事故95%以上发生的使用环节，因违反操作规程、无证违章操作、使用区域环境等非设备本体因素造成的事故占绝大多数（90%以上）。作业人员无证上岗、违章作业，现场混乱。作业人员作业前不检查车辆、带病出车、场车超载超速、视野不良、叉车带人行驶、行驶过程中瞭望不足、紧急情况处置不当、安全意识淡薄等现象普遍。使用单位存在人车混行、作业场所无警示标识等现象，特别是交叉作业缺少必要的安全技术措施。目前场车安全监管的难点之一在于，法规与技术规范（《特种设备安全法》和TSG N0001-2017对于场车的使用区域有明确规定“工厂厂区、旅游景区、游乐场所”（三区），但目前在具体执行中三区的界定仍不明确清晰。而场车流动性大、特别是租赁经营环节（已形成相当大的规模），频繁的跨行政区域使用、设备来源不明、一旦发生事故无法落实主体责任等，监管难度非常大。场车安全监管的另一个难点，在于对驾驶人员的监管，无证操作、违规作业、疲劳驾驶是导致大多数场车事故的直接原因，场车的流动性导致驾驶人员的流动，同样也造成了监管的盲区，违法行为难以及时发现制止。</w:t>
      </w:r>
    </w:p>
    <w:p>
      <w:pPr>
        <w:spacing w:beforeLines="0" w:afterLines="0"/>
        <w:ind w:firstLine="480"/>
        <w:rPr>
          <w:rFonts w:asciiTheme="minorEastAsia" w:hAnsiTheme="minorEastAsia" w:eastAsiaTheme="minorEastAsia"/>
          <w:sz w:val="28"/>
          <w:szCs w:val="28"/>
        </w:rPr>
      </w:pPr>
      <w:r>
        <w:rPr>
          <w:rFonts w:hint="eastAsia" w:asciiTheme="minorEastAsia" w:hAnsiTheme="minorEastAsia" w:eastAsiaTheme="minorEastAsia"/>
          <w:sz w:val="28"/>
          <w:szCs w:val="28"/>
        </w:rPr>
        <w:t>这就反映出部分使用单位存在安全主体责任意识淡薄、车辆操作岗位责任不落实、对车辆管理不严等问题,特别是无证上岗作业的问题现象较为突出。为加强场车的安全管理, 部分地区的监察机构要求使用单位试点安装智慧监管系统（以下简称智慧系统)杜绝无证上岗作业，防范违规作业,预防和减少叉车辆的事故发生。但是目前市场上开发的智慧系统存在质量良莠不齐，诸如设备软件稳定性差、生物识别设备对工况要求较高、部分基础功能不完善、定位偏差、报警功能无提示，无显示、报警日志显示不正常等等现象。使用单位选择难度大，特种设备安全监督管理部门监管困难，无处入手，更不要说实现监管上大数据查询，统计、管理与预警、风险识别和风险管控等需求。</w:t>
      </w:r>
    </w:p>
    <w:p>
      <w:pPr>
        <w:spacing w:beforeLines="0" w:afterLines="0"/>
        <w:ind w:firstLine="480"/>
        <w:rPr>
          <w:rFonts w:asciiTheme="minorEastAsia" w:hAnsiTheme="minorEastAsia" w:eastAsiaTheme="minorEastAsia"/>
          <w:sz w:val="28"/>
          <w:szCs w:val="28"/>
        </w:rPr>
      </w:pPr>
      <w:r>
        <w:rPr>
          <w:rFonts w:hint="eastAsia" w:asciiTheme="minorEastAsia" w:hAnsiTheme="minorEastAsia" w:eastAsiaTheme="minorEastAsia"/>
          <w:sz w:val="28"/>
          <w:szCs w:val="28"/>
        </w:rPr>
        <w:t>为更好统筹发展和安全,在安全生产领城争当表率、争做示范、走在前列。制定江苏省场（厂）内专用机动车辆智慧安全监管系统基本</w:t>
      </w:r>
      <w:r>
        <w:rPr>
          <w:rFonts w:hint="eastAsia" w:asciiTheme="minorEastAsia" w:hAnsiTheme="minorEastAsia" w:eastAsiaTheme="minorEastAsia"/>
          <w:sz w:val="28"/>
          <w:szCs w:val="28"/>
          <w:lang w:val="en-US" w:eastAsia="zh-CN"/>
        </w:rPr>
        <w:t>通用</w:t>
      </w:r>
      <w:r>
        <w:rPr>
          <w:rFonts w:hint="eastAsia" w:asciiTheme="minorEastAsia" w:hAnsiTheme="minorEastAsia" w:eastAsiaTheme="minorEastAsia"/>
          <w:sz w:val="28"/>
          <w:szCs w:val="28"/>
        </w:rPr>
        <w:t>要求，统一认识、统一标准。极大推动智慧监管标准化、精细化管理，更好的引导使用单位、维修保养单位、特种设备安全监督管理部门对场车进行实时监控和有效预警，规范场车的安全监察、管理、使用和流动行为。对贯彻落实省委、省政府关于安全生产工作部暑要求,坚持安全第一、预防为主、综合治理的方针，不断强化红线意识，树牢底线思维,加强安全监管,夯实监管基础起到重要的作用。对全面落实特种设备安全主体责任,推动我省特种设备安全生产形势持续向好具有重要的理论和实践意义。</w:t>
      </w:r>
    </w:p>
    <w:p>
      <w:pPr>
        <w:pStyle w:val="5"/>
        <w:bidi w:val="0"/>
        <w:outlineLvl w:val="0"/>
      </w:pPr>
      <w:bookmarkStart w:id="1" w:name="_Toc5229"/>
      <w:r>
        <w:rPr>
          <w:rFonts w:hint="eastAsia"/>
        </w:rPr>
        <w:t>二</w:t>
      </w:r>
      <w:r>
        <w:rPr>
          <w:rFonts w:hint="eastAsia"/>
          <w:lang w:eastAsia="zh-CN"/>
        </w:rPr>
        <w:t>、</w:t>
      </w:r>
      <w:r>
        <w:rPr>
          <w:rFonts w:hint="eastAsia"/>
        </w:rPr>
        <w:t>任务来源</w:t>
      </w:r>
      <w:bookmarkEnd w:id="1"/>
    </w:p>
    <w:p>
      <w:pPr>
        <w:spacing w:beforeLines="0" w:afterLines="0"/>
        <w:ind w:firstLine="480"/>
        <w:rPr>
          <w:rFonts w:asciiTheme="minorEastAsia" w:hAnsiTheme="minorEastAsia" w:eastAsiaTheme="minorEastAsia"/>
          <w:sz w:val="28"/>
          <w:szCs w:val="28"/>
        </w:rPr>
      </w:pPr>
      <w:r>
        <w:rPr>
          <w:rFonts w:hint="eastAsia" w:asciiTheme="minorEastAsia" w:hAnsiTheme="minorEastAsia" w:eastAsiaTheme="minorEastAsia"/>
          <w:sz w:val="28"/>
          <w:szCs w:val="28"/>
        </w:rPr>
        <w:t>2022年6月29日，江苏省市场监督管理局印发《关于下达 2022 年度江苏省地方标准项目计划的通知》（苏市监标〔2022〕192 号），下达编制任务，包括《场（厂）内专用机动车辆智慧安全监管系统基本要求》地方标准。</w:t>
      </w:r>
    </w:p>
    <w:p>
      <w:pPr>
        <w:pStyle w:val="5"/>
        <w:bidi w:val="0"/>
        <w:outlineLvl w:val="0"/>
      </w:pPr>
      <w:bookmarkStart w:id="2" w:name="_Toc31270"/>
      <w:r>
        <w:rPr>
          <w:rFonts w:hint="eastAsia"/>
        </w:rPr>
        <w:t>三、编制过程</w:t>
      </w:r>
      <w:bookmarkEnd w:id="2"/>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（一）</w:t>
      </w:r>
      <w:r>
        <w:rPr>
          <w:rFonts w:asciiTheme="minorEastAsia" w:hAnsiTheme="minorEastAsia" w:eastAsiaTheme="minorEastAsia"/>
          <w:sz w:val="28"/>
          <w:szCs w:val="28"/>
        </w:rPr>
        <w:t>项目筹备</w:t>
      </w:r>
    </w:p>
    <w:p>
      <w:pPr>
        <w:spacing w:beforeLines="0" w:afterLines="0"/>
        <w:ind w:firstLine="480"/>
        <w:rPr>
          <w:rFonts w:asciiTheme="minorEastAsia" w:hAnsiTheme="minorEastAsia" w:eastAsiaTheme="minorEastAsia"/>
          <w:sz w:val="28"/>
          <w:szCs w:val="28"/>
        </w:rPr>
      </w:pPr>
      <w:r>
        <w:rPr>
          <w:rFonts w:asciiTheme="minorEastAsia" w:hAnsiTheme="minorEastAsia" w:eastAsiaTheme="minorEastAsia"/>
          <w:sz w:val="28"/>
          <w:szCs w:val="28"/>
        </w:rPr>
        <w:t>2022年0</w:t>
      </w:r>
      <w:r>
        <w:rPr>
          <w:rFonts w:hint="eastAsia" w:asciiTheme="minorEastAsia" w:hAnsiTheme="minorEastAsia" w:eastAsiaTheme="minorEastAsia"/>
          <w:sz w:val="28"/>
          <w:szCs w:val="28"/>
        </w:rPr>
        <w:t>8</w:t>
      </w:r>
      <w:r>
        <w:rPr>
          <w:rFonts w:asciiTheme="minorEastAsia" w:hAnsiTheme="minorEastAsia" w:eastAsiaTheme="minorEastAsia"/>
          <w:sz w:val="28"/>
          <w:szCs w:val="28"/>
        </w:rPr>
        <w:t>月，江苏省特种设备安全监督检验研究院</w:t>
      </w:r>
      <w:r>
        <w:rPr>
          <w:rFonts w:hint="eastAsia" w:asciiTheme="minorEastAsia" w:hAnsiTheme="minorEastAsia" w:eastAsiaTheme="minorEastAsia"/>
          <w:sz w:val="28"/>
          <w:szCs w:val="28"/>
        </w:rPr>
        <w:t>昆山</w:t>
      </w:r>
      <w:r>
        <w:rPr>
          <w:rFonts w:asciiTheme="minorEastAsia" w:hAnsiTheme="minorEastAsia" w:eastAsiaTheme="minorEastAsia"/>
          <w:sz w:val="28"/>
          <w:szCs w:val="28"/>
        </w:rPr>
        <w:t>分院在江苏省特种设备安全监督检验研究院和江苏省市场监督管理局的指导下开始筹备起草组，编制了《</w:t>
      </w:r>
      <w:r>
        <w:rPr>
          <w:rFonts w:hint="eastAsia" w:asciiTheme="minorEastAsia" w:hAnsiTheme="minorEastAsia" w:eastAsiaTheme="minorEastAsia"/>
          <w:sz w:val="28"/>
          <w:szCs w:val="28"/>
        </w:rPr>
        <w:t>场（厂）内专用机动车辆智慧安全监管系统基本要求</w:t>
      </w:r>
      <w:r>
        <w:rPr>
          <w:rFonts w:asciiTheme="minorEastAsia" w:hAnsiTheme="minorEastAsia" w:eastAsiaTheme="minorEastAsia"/>
          <w:sz w:val="28"/>
          <w:szCs w:val="28"/>
        </w:rPr>
        <w:t>》地方标准制定的工作方案，明确了标准编制的工作计划，确定参与编制的人员，项目筹备完成正式启动。</w:t>
      </w:r>
    </w:p>
    <w:p>
      <w:pPr>
        <w:numPr>
          <w:ilvl w:val="0"/>
          <w:numId w:val="0"/>
        </w:numPr>
        <w:spacing w:beforeLines="0" w:afterLines="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（二）项目实施</w:t>
      </w:r>
    </w:p>
    <w:p>
      <w:pPr>
        <w:numPr>
          <w:ilvl w:val="0"/>
          <w:numId w:val="0"/>
        </w:numPr>
        <w:spacing w:beforeLines="0" w:afterLines="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项目起草组成立与第一次会议</w:t>
      </w:r>
    </w:p>
    <w:p>
      <w:pPr>
        <w:spacing w:beforeLines="0" w:afterLines="0"/>
        <w:ind w:firstLine="480"/>
        <w:rPr>
          <w:rFonts w:asciiTheme="minorEastAsia" w:hAnsiTheme="minorEastAsia" w:eastAsiaTheme="minorEastAsia"/>
          <w:sz w:val="28"/>
          <w:szCs w:val="28"/>
          <w:highlight w:val="yellow"/>
        </w:rPr>
      </w:pPr>
      <w:r>
        <w:rPr>
          <w:rFonts w:asciiTheme="minorEastAsia" w:hAnsiTheme="minorEastAsia" w:eastAsiaTheme="minorEastAsia"/>
          <w:sz w:val="28"/>
          <w:szCs w:val="28"/>
        </w:rPr>
        <w:t>标准起草及参编单位于2022年0</w:t>
      </w:r>
      <w:r>
        <w:rPr>
          <w:rFonts w:hint="eastAsia" w:asciiTheme="minorEastAsia" w:hAnsiTheme="minorEastAsia" w:eastAsiaTheme="minorEastAsia"/>
          <w:sz w:val="28"/>
          <w:szCs w:val="28"/>
        </w:rPr>
        <w:t>8</w:t>
      </w:r>
      <w:r>
        <w:rPr>
          <w:rFonts w:asciiTheme="minorEastAsia" w:hAnsiTheme="minorEastAsia" w:eastAsiaTheme="minorEastAsia"/>
          <w:sz w:val="28"/>
          <w:szCs w:val="28"/>
        </w:rPr>
        <w:t>月</w:t>
      </w:r>
      <w:r>
        <w:rPr>
          <w:rFonts w:hint="eastAsia" w:asciiTheme="minorEastAsia" w:hAnsiTheme="minorEastAsia" w:eastAsiaTheme="minorEastAsia"/>
          <w:sz w:val="28"/>
          <w:szCs w:val="28"/>
        </w:rPr>
        <w:t>1</w:t>
      </w:r>
      <w:r>
        <w:rPr>
          <w:rFonts w:asciiTheme="minorEastAsia" w:hAnsiTheme="minorEastAsia" w:eastAsiaTheme="minorEastAsia"/>
          <w:sz w:val="28"/>
          <w:szCs w:val="28"/>
        </w:rPr>
        <w:t>5日以视频会议的方式召开本标准起草组成立暨第一次工作会议，正式启动标准编写工作。会议就起草组的组建及标准制定的相关问题进行了讨论和研究，对标准草案的框架进行了认真的讨论。通过了地方标准制定的工作方案</w:t>
      </w:r>
      <w:r>
        <w:rPr>
          <w:rFonts w:hint="eastAsia" w:asciiTheme="minorEastAsia" w:hAnsiTheme="minorEastAsia" w:eastAsiaTheme="minorEastAsia"/>
          <w:sz w:val="28"/>
          <w:szCs w:val="28"/>
        </w:rPr>
        <w:t>（含计划）</w:t>
      </w:r>
      <w:r>
        <w:rPr>
          <w:rFonts w:asciiTheme="minorEastAsia" w:hAnsiTheme="minorEastAsia" w:eastAsiaTheme="minorEastAsia"/>
          <w:sz w:val="28"/>
          <w:szCs w:val="28"/>
        </w:rPr>
        <w:t>。</w:t>
      </w:r>
      <w:r>
        <w:rPr>
          <w:rFonts w:hint="eastAsia" w:asciiTheme="minorEastAsia" w:hAnsiTheme="minorEastAsia" w:eastAsiaTheme="minorEastAsia"/>
          <w:sz w:val="28"/>
          <w:szCs w:val="28"/>
        </w:rPr>
        <w:t>会议确定了本标准负责起草的单位（昆山分院、省院机电技术中心</w:t>
      </w:r>
      <w:r>
        <w:rPr>
          <w:rFonts w:asciiTheme="minorEastAsia" w:hAnsiTheme="minorEastAsia" w:eastAsiaTheme="minorEastAsia"/>
          <w:sz w:val="28"/>
          <w:szCs w:val="28"/>
        </w:rPr>
        <w:t>、</w:t>
      </w:r>
      <w:r>
        <w:rPr>
          <w:rFonts w:hint="eastAsia" w:asciiTheme="minorEastAsia" w:hAnsiTheme="minorEastAsia" w:eastAsiaTheme="minorEastAsia"/>
          <w:sz w:val="28"/>
          <w:szCs w:val="28"/>
        </w:rPr>
        <w:t>苏州分院、泰州分院、直属分院、宿迁</w:t>
      </w:r>
      <w:r>
        <w:rPr>
          <w:rFonts w:asciiTheme="minorEastAsia" w:hAnsiTheme="minorEastAsia" w:eastAsiaTheme="minorEastAsia"/>
          <w:sz w:val="28"/>
          <w:szCs w:val="28"/>
        </w:rPr>
        <w:t>分院、</w:t>
      </w:r>
      <w:r>
        <w:rPr>
          <w:rFonts w:hint="eastAsia" w:asciiTheme="minorEastAsia" w:hAnsiTheme="minorEastAsia" w:eastAsiaTheme="minorEastAsia"/>
          <w:sz w:val="28"/>
          <w:szCs w:val="28"/>
        </w:rPr>
        <w:t>连云港分院、无锡分院、镇江分院）</w:t>
      </w:r>
      <w:r>
        <w:rPr>
          <w:rFonts w:asciiTheme="minorEastAsia" w:hAnsiTheme="minorEastAsia" w:eastAsiaTheme="minorEastAsia"/>
          <w:sz w:val="28"/>
          <w:szCs w:val="28"/>
        </w:rPr>
        <w:t>、本标准主要起草人对《</w:t>
      </w:r>
      <w:r>
        <w:rPr>
          <w:rFonts w:hint="eastAsia" w:asciiTheme="minorEastAsia" w:hAnsiTheme="minorEastAsia" w:eastAsiaTheme="minorEastAsia"/>
          <w:sz w:val="28"/>
          <w:szCs w:val="28"/>
        </w:rPr>
        <w:t>场（厂）内专用机动车辆智慧安全监管系统基本要求</w:t>
      </w:r>
      <w:r>
        <w:rPr>
          <w:rFonts w:asciiTheme="minorEastAsia" w:hAnsiTheme="minorEastAsia" w:eastAsiaTheme="minorEastAsia"/>
          <w:sz w:val="28"/>
          <w:szCs w:val="28"/>
        </w:rPr>
        <w:t>》地方标准的题目、框架、内容进行了认真讨论，通过了《</w:t>
      </w:r>
      <w:r>
        <w:rPr>
          <w:rFonts w:hint="eastAsia" w:asciiTheme="minorEastAsia" w:hAnsiTheme="minorEastAsia" w:eastAsiaTheme="minorEastAsia"/>
          <w:sz w:val="28"/>
          <w:szCs w:val="28"/>
        </w:rPr>
        <w:t>场（厂）内专用机动车辆智慧安全监管系统基本要求</w:t>
      </w:r>
      <w:r>
        <w:rPr>
          <w:rFonts w:asciiTheme="minorEastAsia" w:hAnsiTheme="minorEastAsia" w:eastAsiaTheme="minorEastAsia"/>
          <w:sz w:val="28"/>
          <w:szCs w:val="28"/>
        </w:rPr>
        <w:t>》地方标准制定工作方案。确定标准中部分内容需要修订，并且明确了修订部分内容的具体分工</w:t>
      </w:r>
      <w:r>
        <w:rPr>
          <w:rFonts w:hint="eastAsia" w:asciiTheme="minorEastAsia" w:hAnsiTheme="minorEastAsia" w:eastAsiaTheme="minorEastAsia"/>
          <w:sz w:val="28"/>
          <w:szCs w:val="28"/>
        </w:rPr>
        <w:t>。</w:t>
      </w:r>
    </w:p>
    <w:p>
      <w:pPr>
        <w:numPr>
          <w:ilvl w:val="0"/>
          <w:numId w:val="0"/>
        </w:numPr>
        <w:spacing w:beforeLines="0" w:afterLines="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项目组第一次调研活动</w:t>
      </w:r>
    </w:p>
    <w:p>
      <w:pPr>
        <w:numPr>
          <w:ilvl w:val="0"/>
          <w:numId w:val="0"/>
        </w:numPr>
        <w:spacing w:beforeLines="0" w:afterLines="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   项目起草组部分成员于2022年11月2日到昆山法艾姆公司参加智慧叉车监管调研活动。会上企业介绍了叉车智慧管理车队的研发和建设情况，昆山市市场监管局安全监察科王宇参会并提出了建议和要求。项目组收集整理了数据传输和数据处理的相关资料。</w:t>
      </w:r>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项目起草组第</w:t>
      </w:r>
      <w:r>
        <w:rPr>
          <w:rFonts w:hint="eastAsia" w:asciiTheme="minorEastAsia" w:hAnsiTheme="minorEastAsia" w:eastAsiaTheme="minorEastAsia"/>
          <w:sz w:val="28"/>
          <w:szCs w:val="28"/>
        </w:rPr>
        <w:t>二</w:t>
      </w:r>
      <w:r>
        <w:rPr>
          <w:rFonts w:asciiTheme="minorEastAsia" w:hAnsiTheme="minorEastAsia" w:eastAsiaTheme="minorEastAsia"/>
          <w:sz w:val="28"/>
          <w:szCs w:val="28"/>
        </w:rPr>
        <w:t>次工作会议</w:t>
      </w:r>
    </w:p>
    <w:p>
      <w:pPr>
        <w:spacing w:beforeLines="0" w:afterLines="0"/>
        <w:ind w:firstLine="480"/>
        <w:rPr>
          <w:rFonts w:asciiTheme="minorEastAsia" w:hAnsiTheme="minorEastAsia" w:eastAsiaTheme="minorEastAsia"/>
          <w:sz w:val="28"/>
          <w:szCs w:val="28"/>
          <w:highlight w:val="yellow"/>
        </w:rPr>
      </w:pPr>
      <w:r>
        <w:rPr>
          <w:rFonts w:asciiTheme="minorEastAsia" w:hAnsiTheme="minorEastAsia" w:eastAsiaTheme="minorEastAsia"/>
          <w:sz w:val="28"/>
          <w:szCs w:val="28"/>
        </w:rPr>
        <w:t>项目起草组于2022年12月12日以视频会议的方式举行了第</w:t>
      </w:r>
      <w:r>
        <w:rPr>
          <w:rFonts w:hint="eastAsia" w:asciiTheme="minorEastAsia" w:hAnsiTheme="minorEastAsia" w:eastAsiaTheme="minorEastAsia"/>
          <w:sz w:val="28"/>
          <w:szCs w:val="28"/>
        </w:rPr>
        <w:t>二</w:t>
      </w:r>
      <w:r>
        <w:rPr>
          <w:rFonts w:asciiTheme="minorEastAsia" w:hAnsiTheme="minorEastAsia" w:eastAsiaTheme="minorEastAsia"/>
          <w:sz w:val="28"/>
          <w:szCs w:val="28"/>
        </w:rPr>
        <w:t>次工作会议，对地方标准初稿的内容进行了讨论和研究。由标准执笔人</w:t>
      </w:r>
      <w:r>
        <w:rPr>
          <w:rFonts w:hint="eastAsia" w:asciiTheme="minorEastAsia" w:hAnsiTheme="minorEastAsia" w:eastAsiaTheme="minorEastAsia"/>
          <w:sz w:val="28"/>
          <w:szCs w:val="28"/>
        </w:rPr>
        <w:t>赵彬</w:t>
      </w:r>
      <w:r>
        <w:rPr>
          <w:rFonts w:asciiTheme="minorEastAsia" w:hAnsiTheme="minorEastAsia" w:eastAsiaTheme="minorEastAsia"/>
          <w:sz w:val="28"/>
          <w:szCs w:val="28"/>
        </w:rPr>
        <w:t>介绍了标准初稿的起草情况及征求起草组意见后的修订情况并进行了讨论。会议上</w:t>
      </w:r>
      <w:r>
        <w:rPr>
          <w:rFonts w:hint="eastAsia" w:asciiTheme="minorEastAsia" w:hAnsiTheme="minorEastAsia" w:eastAsiaTheme="minorEastAsia"/>
          <w:sz w:val="28"/>
          <w:szCs w:val="28"/>
        </w:rPr>
        <w:t>昆山市市场监管局吴伟杰科长介绍了昆山市开展推进叉车安装智能监管系统建设的工作内容，各分局提出了在智能监管系统的建议和看法</w:t>
      </w:r>
      <w:r>
        <w:rPr>
          <w:rFonts w:asciiTheme="minorEastAsia" w:hAnsiTheme="minorEastAsia" w:eastAsiaTheme="minorEastAsia"/>
          <w:sz w:val="28"/>
          <w:szCs w:val="28"/>
        </w:rPr>
        <w:t>。</w:t>
      </w:r>
    </w:p>
    <w:p>
      <w:pPr>
        <w:numPr>
          <w:ilvl w:val="0"/>
          <w:numId w:val="0"/>
        </w:numPr>
        <w:spacing w:beforeLines="0" w:afterLines="0"/>
        <w:ind w:firstLine="0" w:firstLineChars="0"/>
        <w:rPr>
          <w:rFonts w:hint="eastAsia" w:asciiTheme="minorEastAsia" w:hAnsiTheme="minorEastAsia" w:eastAsiaTheme="minorEastAsia"/>
          <w:sz w:val="28"/>
          <w:szCs w:val="28"/>
          <w:lang w:val="en-US" w:eastAsia="zh-CN"/>
        </w:rPr>
      </w:pPr>
      <w:r>
        <w:rPr>
          <w:rFonts w:hint="eastAsia" w:cs="Arial" w:asciiTheme="minorEastAsia" w:hAnsiTheme="minorEastAsia" w:eastAsiaTheme="minorEastAsia"/>
          <w:snapToGrid w:val="0"/>
          <w:color w:val="000000"/>
          <w:sz w:val="28"/>
          <w:szCs w:val="28"/>
          <w:lang w:val="en-US" w:eastAsia="zh-CN" w:bidi="ar-SA"/>
        </w:rPr>
        <w:t>4.</w:t>
      </w:r>
      <w:r>
        <w:rPr>
          <w:rFonts w:hint="eastAsia" w:asciiTheme="minorEastAsia" w:hAnsiTheme="minorEastAsia" w:eastAsiaTheme="minorEastAsia"/>
          <w:sz w:val="28"/>
          <w:szCs w:val="28"/>
          <w:lang w:val="en-US" w:eastAsia="zh-CN"/>
        </w:rPr>
        <w:t>项目组第二次调研活动</w:t>
      </w:r>
    </w:p>
    <w:p>
      <w:pPr>
        <w:numPr>
          <w:ilvl w:val="0"/>
          <w:numId w:val="0"/>
        </w:numPr>
        <w:spacing w:beforeLines="0" w:afterLines="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   项目起草组部分成员于2023年3月2-3日参加省局在常州、南通进行的智慧叉车监管调研活动。常州、南通市局汇报了智慧叉车在本市的建设情况，省局领导高度重视智慧叉车的合法性验证及与监察部门的对接情况，项目组收集整理了合法性验证和预警提示的相关资料。</w:t>
      </w:r>
    </w:p>
    <w:p>
      <w:pPr>
        <w:numPr>
          <w:ilvl w:val="0"/>
          <w:numId w:val="0"/>
        </w:numPr>
        <w:spacing w:beforeLines="0" w:afterLines="0"/>
        <w:ind w:firstLine="0" w:firstLineChars="0"/>
        <w:rPr>
          <w:rFonts w:asciiTheme="minorEastAsia" w:hAnsiTheme="minorEastAsia" w:eastAsiaTheme="minorEastAsia"/>
          <w:sz w:val="28"/>
          <w:szCs w:val="28"/>
        </w:rPr>
      </w:pPr>
      <w:r>
        <w:rPr>
          <w:rFonts w:hint="eastAsia" w:cs="Arial" w:asciiTheme="minorEastAsia" w:hAnsiTheme="minorEastAsia" w:eastAsiaTheme="minorEastAsia"/>
          <w:snapToGrid w:val="0"/>
          <w:color w:val="000000"/>
          <w:sz w:val="28"/>
          <w:szCs w:val="28"/>
          <w:lang w:val="en-US" w:eastAsia="zh-CN" w:bidi="ar-SA"/>
        </w:rPr>
        <w:t>5.</w:t>
      </w:r>
      <w:r>
        <w:rPr>
          <w:rFonts w:asciiTheme="minorEastAsia" w:hAnsiTheme="minorEastAsia" w:eastAsiaTheme="minorEastAsia"/>
          <w:sz w:val="28"/>
          <w:szCs w:val="28"/>
        </w:rPr>
        <w:t>项目起草组第</w:t>
      </w:r>
      <w:r>
        <w:rPr>
          <w:rFonts w:hint="eastAsia" w:asciiTheme="minorEastAsia" w:hAnsiTheme="minorEastAsia" w:eastAsiaTheme="minorEastAsia"/>
          <w:sz w:val="28"/>
          <w:szCs w:val="28"/>
        </w:rPr>
        <w:t>三</w:t>
      </w:r>
      <w:r>
        <w:rPr>
          <w:rFonts w:asciiTheme="minorEastAsia" w:hAnsiTheme="minorEastAsia" w:eastAsiaTheme="minorEastAsia"/>
          <w:sz w:val="28"/>
          <w:szCs w:val="28"/>
        </w:rPr>
        <w:t>次工作会议</w:t>
      </w:r>
    </w:p>
    <w:p>
      <w:pPr>
        <w:spacing w:beforeLines="0" w:afterLines="0"/>
        <w:ind w:firstLine="480"/>
        <w:rPr>
          <w:rFonts w:asciiTheme="minorEastAsia" w:hAnsiTheme="minorEastAsia" w:eastAsiaTheme="minorEastAsia"/>
          <w:sz w:val="28"/>
          <w:szCs w:val="28"/>
        </w:rPr>
      </w:pPr>
      <w:r>
        <w:rPr>
          <w:rFonts w:asciiTheme="minorEastAsia" w:hAnsiTheme="minorEastAsia" w:eastAsiaTheme="minorEastAsia"/>
          <w:sz w:val="28"/>
          <w:szCs w:val="28"/>
        </w:rPr>
        <w:t>项目起草组于2023年</w:t>
      </w:r>
      <w:r>
        <w:rPr>
          <w:rFonts w:hint="eastAsia" w:asciiTheme="minorEastAsia" w:hAnsiTheme="minorEastAsia" w:eastAsiaTheme="minorEastAsia"/>
          <w:sz w:val="28"/>
          <w:szCs w:val="28"/>
        </w:rPr>
        <w:t>4</w:t>
      </w:r>
      <w:r>
        <w:rPr>
          <w:rFonts w:asciiTheme="minorEastAsia" w:hAnsiTheme="minorEastAsia" w:eastAsiaTheme="minorEastAsia"/>
          <w:sz w:val="28"/>
          <w:szCs w:val="28"/>
        </w:rPr>
        <w:t>月</w:t>
      </w:r>
      <w:r>
        <w:rPr>
          <w:rFonts w:hint="eastAsia" w:asciiTheme="minorEastAsia" w:hAnsiTheme="minorEastAsia" w:eastAsiaTheme="minorEastAsia"/>
          <w:sz w:val="28"/>
          <w:szCs w:val="28"/>
        </w:rPr>
        <w:t>2</w:t>
      </w:r>
      <w:r>
        <w:rPr>
          <w:rFonts w:asciiTheme="minorEastAsia" w:hAnsiTheme="minorEastAsia" w:eastAsiaTheme="minorEastAsia"/>
          <w:sz w:val="28"/>
          <w:szCs w:val="28"/>
        </w:rPr>
        <w:t>0日以线上会议的方式举行了第</w:t>
      </w:r>
      <w:r>
        <w:rPr>
          <w:rFonts w:hint="eastAsia" w:asciiTheme="minorEastAsia" w:hAnsiTheme="minorEastAsia" w:eastAsiaTheme="minorEastAsia"/>
          <w:sz w:val="28"/>
          <w:szCs w:val="28"/>
        </w:rPr>
        <w:t>三</w:t>
      </w:r>
      <w:r>
        <w:rPr>
          <w:rFonts w:asciiTheme="minorEastAsia" w:hAnsiTheme="minorEastAsia" w:eastAsiaTheme="minorEastAsia"/>
          <w:sz w:val="28"/>
          <w:szCs w:val="28"/>
        </w:rPr>
        <w:t>次工作会议，对地方标准工作组讨论稿的内容进行了讨论和研究。由标准执笔人</w:t>
      </w:r>
      <w:r>
        <w:rPr>
          <w:rFonts w:hint="eastAsia" w:asciiTheme="minorEastAsia" w:hAnsiTheme="minorEastAsia" w:eastAsiaTheme="minorEastAsia"/>
          <w:sz w:val="28"/>
          <w:szCs w:val="28"/>
        </w:rPr>
        <w:t>赵彬</w:t>
      </w:r>
      <w:r>
        <w:rPr>
          <w:rFonts w:asciiTheme="minorEastAsia" w:hAnsiTheme="minorEastAsia" w:eastAsiaTheme="minorEastAsia"/>
          <w:sz w:val="28"/>
          <w:szCs w:val="28"/>
        </w:rPr>
        <w:t>介绍了标准工作组讨论稿的起草情况及及征求起草组意见后的修订情况并进行了讨论</w:t>
      </w:r>
      <w:r>
        <w:rPr>
          <w:rFonts w:hint="eastAsia" w:asciiTheme="minorEastAsia" w:hAnsiTheme="minorEastAsia" w:eastAsiaTheme="minorEastAsia"/>
          <w:sz w:val="28"/>
          <w:szCs w:val="28"/>
        </w:rPr>
        <w:t>，形成征求意见稿进行公开征求意见</w:t>
      </w:r>
      <w:r>
        <w:rPr>
          <w:rFonts w:asciiTheme="minorEastAsia" w:hAnsiTheme="minorEastAsia" w:eastAsiaTheme="minorEastAsia"/>
          <w:sz w:val="28"/>
          <w:szCs w:val="28"/>
        </w:rPr>
        <w:t>。</w:t>
      </w:r>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项目起草组第</w:t>
      </w:r>
      <w:r>
        <w:rPr>
          <w:rFonts w:hint="eastAsia" w:asciiTheme="minorEastAsia" w:hAnsiTheme="minorEastAsia" w:eastAsiaTheme="minorEastAsia"/>
          <w:sz w:val="28"/>
          <w:szCs w:val="28"/>
        </w:rPr>
        <w:t>四</w:t>
      </w:r>
      <w:r>
        <w:rPr>
          <w:rFonts w:asciiTheme="minorEastAsia" w:hAnsiTheme="minorEastAsia" w:eastAsiaTheme="minorEastAsia"/>
          <w:sz w:val="28"/>
          <w:szCs w:val="28"/>
        </w:rPr>
        <w:t>次工作会议</w:t>
      </w:r>
    </w:p>
    <w:p>
      <w:pPr>
        <w:spacing w:beforeLines="0" w:afterLines="0"/>
        <w:ind w:firstLine="480"/>
        <w:rPr>
          <w:rFonts w:asciiTheme="minorEastAsia" w:hAnsiTheme="minorEastAsia" w:eastAsiaTheme="minorEastAsia"/>
          <w:sz w:val="28"/>
          <w:szCs w:val="28"/>
        </w:rPr>
      </w:pPr>
      <w:r>
        <w:rPr>
          <w:rFonts w:asciiTheme="minorEastAsia" w:hAnsiTheme="minorEastAsia" w:eastAsiaTheme="minorEastAsia"/>
          <w:sz w:val="28"/>
          <w:szCs w:val="28"/>
        </w:rPr>
        <w:t>项目起草组于2023年</w:t>
      </w:r>
      <w:r>
        <w:rPr>
          <w:rFonts w:hint="eastAsia" w:asciiTheme="minorEastAsia" w:hAnsiTheme="minorEastAsia" w:eastAsiaTheme="minorEastAsia"/>
          <w:sz w:val="28"/>
          <w:szCs w:val="28"/>
        </w:rPr>
        <w:t>9</w:t>
      </w:r>
      <w:r>
        <w:rPr>
          <w:rFonts w:asciiTheme="minorEastAsia" w:hAnsiTheme="minorEastAsia" w:eastAsiaTheme="minorEastAsia"/>
          <w:sz w:val="28"/>
          <w:szCs w:val="28"/>
        </w:rPr>
        <w:t>月</w:t>
      </w:r>
      <w:r>
        <w:rPr>
          <w:rFonts w:hint="eastAsia" w:asciiTheme="minorEastAsia" w:hAnsiTheme="minorEastAsia" w:eastAsiaTheme="minorEastAsia"/>
          <w:sz w:val="28"/>
          <w:szCs w:val="28"/>
        </w:rPr>
        <w:t>20</w:t>
      </w:r>
      <w:r>
        <w:rPr>
          <w:rFonts w:asciiTheme="minorEastAsia" w:hAnsiTheme="minorEastAsia" w:eastAsiaTheme="minorEastAsia"/>
          <w:sz w:val="28"/>
          <w:szCs w:val="28"/>
        </w:rPr>
        <w:t>日以线下会议的方式举行了第</w:t>
      </w:r>
      <w:r>
        <w:rPr>
          <w:rFonts w:hint="eastAsia" w:asciiTheme="minorEastAsia" w:hAnsiTheme="minorEastAsia" w:eastAsiaTheme="minorEastAsia"/>
          <w:sz w:val="28"/>
          <w:szCs w:val="28"/>
        </w:rPr>
        <w:t>四</w:t>
      </w:r>
      <w:r>
        <w:rPr>
          <w:rFonts w:asciiTheme="minorEastAsia" w:hAnsiTheme="minorEastAsia" w:eastAsiaTheme="minorEastAsia"/>
          <w:sz w:val="28"/>
          <w:szCs w:val="28"/>
        </w:rPr>
        <w:t>次工作会议，对地方标准工作组</w:t>
      </w:r>
      <w:r>
        <w:rPr>
          <w:rFonts w:hint="eastAsia" w:asciiTheme="minorEastAsia" w:hAnsiTheme="minorEastAsia" w:eastAsiaTheme="minorEastAsia"/>
          <w:sz w:val="28"/>
          <w:szCs w:val="28"/>
        </w:rPr>
        <w:t>修订</w:t>
      </w:r>
      <w:r>
        <w:rPr>
          <w:rFonts w:asciiTheme="minorEastAsia" w:hAnsiTheme="minorEastAsia" w:eastAsiaTheme="minorEastAsia"/>
          <w:sz w:val="28"/>
          <w:szCs w:val="28"/>
        </w:rPr>
        <w:t>稿的内容进行了讨论和研究。由标准执笔人</w:t>
      </w:r>
      <w:r>
        <w:rPr>
          <w:rFonts w:hint="eastAsia" w:asciiTheme="minorEastAsia" w:hAnsiTheme="minorEastAsia" w:eastAsiaTheme="minorEastAsia"/>
          <w:sz w:val="28"/>
          <w:szCs w:val="28"/>
        </w:rPr>
        <w:t>赵彬</w:t>
      </w:r>
      <w:r>
        <w:rPr>
          <w:rFonts w:asciiTheme="minorEastAsia" w:hAnsiTheme="minorEastAsia" w:eastAsiaTheme="minorEastAsia"/>
          <w:sz w:val="28"/>
          <w:szCs w:val="28"/>
        </w:rPr>
        <w:t>介绍了标准工作组讨论稿的</w:t>
      </w:r>
      <w:r>
        <w:rPr>
          <w:rFonts w:hint="eastAsia" w:asciiTheme="minorEastAsia" w:hAnsiTheme="minorEastAsia" w:eastAsiaTheme="minorEastAsia"/>
          <w:sz w:val="28"/>
          <w:szCs w:val="28"/>
        </w:rPr>
        <w:t>修订</w:t>
      </w:r>
      <w:r>
        <w:rPr>
          <w:rFonts w:asciiTheme="minorEastAsia" w:hAnsiTheme="minorEastAsia" w:eastAsiaTheme="minorEastAsia"/>
          <w:sz w:val="28"/>
          <w:szCs w:val="28"/>
        </w:rPr>
        <w:t>情况及</w:t>
      </w:r>
      <w:r>
        <w:rPr>
          <w:rFonts w:hint="eastAsia" w:asciiTheme="minorEastAsia" w:hAnsiTheme="minorEastAsia" w:eastAsiaTheme="minorEastAsia"/>
          <w:sz w:val="28"/>
          <w:szCs w:val="28"/>
        </w:rPr>
        <w:t>第一次公开征求意见和第二次定向征求</w:t>
      </w:r>
      <w:r>
        <w:rPr>
          <w:rFonts w:asciiTheme="minorEastAsia" w:hAnsiTheme="minorEastAsia" w:eastAsiaTheme="minorEastAsia"/>
          <w:sz w:val="28"/>
          <w:szCs w:val="28"/>
        </w:rPr>
        <w:t>意见后的修订情况</w:t>
      </w:r>
      <w:r>
        <w:rPr>
          <w:rFonts w:hint="eastAsia" w:asciiTheme="minorEastAsia" w:hAnsiTheme="minorEastAsia" w:eastAsiaTheme="minorEastAsia"/>
          <w:sz w:val="28"/>
          <w:szCs w:val="28"/>
        </w:rPr>
        <w:t>（具体内容提下）</w:t>
      </w:r>
      <w:r>
        <w:rPr>
          <w:rFonts w:asciiTheme="minorEastAsia" w:hAnsiTheme="minorEastAsia" w:eastAsiaTheme="minorEastAsia"/>
          <w:sz w:val="28"/>
          <w:szCs w:val="28"/>
        </w:rPr>
        <w:t>并进行了讨论。通过讨论，会议确定：地方标准编制内容已初步符合要求，已完成编制目标，可作为</w:t>
      </w:r>
      <w:r>
        <w:rPr>
          <w:rFonts w:hint="eastAsia" w:asciiTheme="minorEastAsia" w:hAnsiTheme="minorEastAsia" w:eastAsiaTheme="minorEastAsia"/>
          <w:sz w:val="28"/>
          <w:szCs w:val="28"/>
        </w:rPr>
        <w:t>报批</w:t>
      </w:r>
      <w:r>
        <w:rPr>
          <w:rFonts w:asciiTheme="minorEastAsia" w:hAnsiTheme="minorEastAsia" w:eastAsiaTheme="minorEastAsia"/>
          <w:sz w:val="28"/>
          <w:szCs w:val="28"/>
        </w:rPr>
        <w:t>稿进行上报。</w:t>
      </w:r>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项目起草组</w:t>
      </w:r>
      <w:r>
        <w:rPr>
          <w:rFonts w:asciiTheme="minorEastAsia" w:hAnsiTheme="minorEastAsia" w:eastAsiaTheme="minorEastAsia"/>
          <w:sz w:val="28"/>
          <w:szCs w:val="28"/>
        </w:rPr>
        <w:t>第</w:t>
      </w:r>
      <w:r>
        <w:rPr>
          <w:rFonts w:hint="eastAsia" w:asciiTheme="minorEastAsia" w:hAnsiTheme="minorEastAsia" w:eastAsiaTheme="minorEastAsia"/>
          <w:sz w:val="28"/>
          <w:szCs w:val="28"/>
        </w:rPr>
        <w:t>五次工作</w:t>
      </w:r>
      <w:r>
        <w:rPr>
          <w:rFonts w:asciiTheme="minorEastAsia" w:hAnsiTheme="minorEastAsia" w:eastAsiaTheme="minorEastAsia"/>
          <w:sz w:val="28"/>
          <w:szCs w:val="28"/>
        </w:rPr>
        <w:t>会议</w:t>
      </w:r>
    </w:p>
    <w:p>
      <w:pPr>
        <w:spacing w:beforeLines="0" w:afterLines="0"/>
        <w:ind w:firstLine="480"/>
        <w:rPr>
          <w:rFonts w:asciiTheme="minorEastAsia" w:hAnsiTheme="minorEastAsia" w:eastAsiaTheme="minorEastAsia"/>
          <w:sz w:val="28"/>
          <w:szCs w:val="28"/>
        </w:rPr>
      </w:pPr>
      <w:r>
        <w:rPr>
          <w:rFonts w:asciiTheme="minorEastAsia" w:hAnsiTheme="minorEastAsia" w:eastAsiaTheme="minorEastAsia"/>
          <w:sz w:val="28"/>
          <w:szCs w:val="28"/>
        </w:rPr>
        <w:t>项目起草组于2023年11月9日</w:t>
      </w:r>
      <w:r>
        <w:rPr>
          <w:rFonts w:hint="eastAsia" w:asciiTheme="minorEastAsia" w:hAnsiTheme="minorEastAsia" w:eastAsiaTheme="minorEastAsia"/>
          <w:sz w:val="28"/>
          <w:szCs w:val="28"/>
        </w:rPr>
        <w:t>在</w:t>
      </w:r>
      <w:r>
        <w:rPr>
          <w:rFonts w:asciiTheme="minorEastAsia" w:hAnsiTheme="minorEastAsia" w:eastAsiaTheme="minorEastAsia"/>
          <w:sz w:val="28"/>
          <w:szCs w:val="28"/>
        </w:rPr>
        <w:t>苏州分院</w:t>
      </w:r>
      <w:r>
        <w:rPr>
          <w:rFonts w:hint="eastAsia" w:asciiTheme="minorEastAsia" w:hAnsiTheme="minorEastAsia" w:eastAsiaTheme="minorEastAsia"/>
          <w:sz w:val="28"/>
          <w:szCs w:val="28"/>
        </w:rPr>
        <w:t>8楼会议室</w:t>
      </w:r>
      <w:r>
        <w:rPr>
          <w:rFonts w:asciiTheme="minorEastAsia" w:hAnsiTheme="minorEastAsia" w:eastAsiaTheme="minorEastAsia"/>
          <w:sz w:val="28"/>
          <w:szCs w:val="28"/>
        </w:rPr>
        <w:t>以线下会议的方式举行了</w:t>
      </w:r>
      <w:r>
        <w:rPr>
          <w:rFonts w:hint="eastAsia" w:asciiTheme="minorEastAsia" w:hAnsiTheme="minorEastAsia" w:eastAsiaTheme="minorEastAsia"/>
          <w:sz w:val="28"/>
          <w:szCs w:val="28"/>
        </w:rPr>
        <w:t>地方标准内部审查会，邀请来自苏州市产品质量监督</w:t>
      </w:r>
      <w:r>
        <w:rPr>
          <w:rFonts w:asciiTheme="minorEastAsia" w:hAnsiTheme="minorEastAsia" w:eastAsiaTheme="minorEastAsia"/>
          <w:sz w:val="28"/>
          <w:szCs w:val="28"/>
        </w:rPr>
        <w:t>检验院</w:t>
      </w:r>
      <w:r>
        <w:rPr>
          <w:rFonts w:hint="eastAsia" w:asciiTheme="minorEastAsia" w:hAnsiTheme="minorEastAsia" w:eastAsiaTheme="minorEastAsia"/>
          <w:sz w:val="28"/>
          <w:szCs w:val="28"/>
        </w:rPr>
        <w:t>、苏州市质量</w:t>
      </w:r>
      <w:r>
        <w:rPr>
          <w:rFonts w:asciiTheme="minorEastAsia" w:hAnsiTheme="minorEastAsia" w:eastAsiaTheme="minorEastAsia"/>
          <w:sz w:val="28"/>
          <w:szCs w:val="28"/>
        </w:rPr>
        <w:t>和标准化院</w:t>
      </w:r>
      <w:r>
        <w:rPr>
          <w:rFonts w:hint="eastAsia" w:asciiTheme="minorEastAsia" w:hAnsiTheme="minorEastAsia" w:eastAsiaTheme="minorEastAsia"/>
          <w:sz w:val="28"/>
          <w:szCs w:val="28"/>
        </w:rPr>
        <w:t>的2位</w:t>
      </w:r>
      <w:r>
        <w:rPr>
          <w:rFonts w:asciiTheme="minorEastAsia" w:hAnsiTheme="minorEastAsia" w:eastAsiaTheme="minorEastAsia"/>
          <w:sz w:val="28"/>
          <w:szCs w:val="28"/>
        </w:rPr>
        <w:t>专家</w:t>
      </w:r>
      <w:r>
        <w:rPr>
          <w:rFonts w:hint="eastAsia" w:asciiTheme="minorEastAsia" w:hAnsiTheme="minorEastAsia" w:eastAsiaTheme="minorEastAsia"/>
          <w:sz w:val="28"/>
          <w:szCs w:val="28"/>
        </w:rPr>
        <w:t>对标准进行了评审。</w:t>
      </w:r>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w:t>
      </w:r>
      <w:r>
        <w:rPr>
          <w:rFonts w:hint="eastAsia" w:asciiTheme="minorEastAsia" w:hAnsiTheme="minorEastAsia" w:eastAsiaTheme="minorEastAsia"/>
          <w:sz w:val="28"/>
          <w:szCs w:val="28"/>
        </w:rPr>
        <w:t>项目起草组</w:t>
      </w:r>
      <w:r>
        <w:rPr>
          <w:rFonts w:asciiTheme="minorEastAsia" w:hAnsiTheme="minorEastAsia" w:eastAsiaTheme="minorEastAsia"/>
          <w:sz w:val="28"/>
          <w:szCs w:val="28"/>
        </w:rPr>
        <w:t>第</w:t>
      </w:r>
      <w:r>
        <w:rPr>
          <w:rFonts w:hint="eastAsia" w:asciiTheme="minorEastAsia" w:hAnsiTheme="minorEastAsia" w:eastAsiaTheme="minorEastAsia"/>
          <w:sz w:val="28"/>
          <w:szCs w:val="28"/>
        </w:rPr>
        <w:t>六次工作</w:t>
      </w:r>
      <w:r>
        <w:rPr>
          <w:rFonts w:asciiTheme="minorEastAsia" w:hAnsiTheme="minorEastAsia" w:eastAsiaTheme="minorEastAsia"/>
          <w:sz w:val="28"/>
          <w:szCs w:val="28"/>
        </w:rPr>
        <w:t>会议</w:t>
      </w:r>
    </w:p>
    <w:p>
      <w:pPr>
        <w:spacing w:beforeLines="0" w:afterLines="0"/>
        <w:ind w:firstLine="480"/>
        <w:rPr>
          <w:rFonts w:hint="eastAsia" w:asciiTheme="minorEastAsia" w:hAnsiTheme="minorEastAsia" w:eastAsiaTheme="minorEastAsia"/>
          <w:sz w:val="28"/>
          <w:szCs w:val="28"/>
        </w:rPr>
      </w:pPr>
      <w:r>
        <w:rPr>
          <w:rFonts w:asciiTheme="minorEastAsia" w:hAnsiTheme="minorEastAsia" w:eastAsiaTheme="minorEastAsia"/>
          <w:sz w:val="28"/>
          <w:szCs w:val="28"/>
        </w:rPr>
        <w:t>项目起草组于2023年11月1</w:t>
      </w:r>
      <w:r>
        <w:rPr>
          <w:rFonts w:hint="eastAsia" w:asciiTheme="minorEastAsia" w:hAnsiTheme="minorEastAsia" w:eastAsiaTheme="minorEastAsia"/>
          <w:sz w:val="28"/>
          <w:szCs w:val="28"/>
        </w:rPr>
        <w:t>0</w:t>
      </w:r>
      <w:r>
        <w:rPr>
          <w:rFonts w:asciiTheme="minorEastAsia" w:hAnsiTheme="minorEastAsia" w:eastAsiaTheme="minorEastAsia"/>
          <w:sz w:val="28"/>
          <w:szCs w:val="28"/>
        </w:rPr>
        <w:t>日</w:t>
      </w:r>
      <w:r>
        <w:rPr>
          <w:rFonts w:hint="eastAsia" w:asciiTheme="minorEastAsia" w:hAnsiTheme="minorEastAsia" w:eastAsiaTheme="minorEastAsia"/>
          <w:sz w:val="28"/>
          <w:szCs w:val="28"/>
        </w:rPr>
        <w:t>以</w:t>
      </w:r>
      <w:r>
        <w:rPr>
          <w:rFonts w:asciiTheme="minorEastAsia" w:hAnsiTheme="minorEastAsia" w:eastAsiaTheme="minorEastAsia"/>
          <w:sz w:val="28"/>
          <w:szCs w:val="28"/>
        </w:rPr>
        <w:t>线上会议的方式</w:t>
      </w:r>
      <w:r>
        <w:rPr>
          <w:rFonts w:hint="eastAsia" w:asciiTheme="minorEastAsia" w:hAnsiTheme="minorEastAsia" w:eastAsiaTheme="minorEastAsia"/>
          <w:sz w:val="28"/>
          <w:szCs w:val="28"/>
        </w:rPr>
        <w:t>对前期专家提出的问题，逐条进行了复核对相关内容进行修改，并对修改的内容逐条进行了审查，形成地方标准送审稿。</w:t>
      </w:r>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项目起草组</w:t>
      </w:r>
      <w:r>
        <w:rPr>
          <w:rFonts w:asciiTheme="minorEastAsia" w:hAnsiTheme="minorEastAsia" w:eastAsiaTheme="minorEastAsia"/>
          <w:sz w:val="28"/>
          <w:szCs w:val="28"/>
        </w:rPr>
        <w:t>第</w:t>
      </w:r>
      <w:r>
        <w:rPr>
          <w:rFonts w:hint="eastAsia" w:asciiTheme="minorEastAsia" w:hAnsiTheme="minorEastAsia" w:eastAsiaTheme="minorEastAsia"/>
          <w:sz w:val="28"/>
          <w:szCs w:val="28"/>
          <w:lang w:eastAsia="zh-CN"/>
        </w:rPr>
        <w:t>七</w:t>
      </w:r>
      <w:r>
        <w:rPr>
          <w:rFonts w:hint="eastAsia" w:asciiTheme="minorEastAsia" w:hAnsiTheme="minorEastAsia" w:eastAsiaTheme="minorEastAsia"/>
          <w:sz w:val="28"/>
          <w:szCs w:val="28"/>
        </w:rPr>
        <w:t>次工作</w:t>
      </w:r>
      <w:r>
        <w:rPr>
          <w:rFonts w:asciiTheme="minorEastAsia" w:hAnsiTheme="minorEastAsia" w:eastAsiaTheme="minorEastAsia"/>
          <w:sz w:val="28"/>
          <w:szCs w:val="28"/>
        </w:rPr>
        <w:t>会议</w:t>
      </w:r>
    </w:p>
    <w:p>
      <w:pPr>
        <w:spacing w:beforeLines="0" w:afterLines="0"/>
        <w:ind w:firstLine="480"/>
        <w:rPr>
          <w:rFonts w:hint="eastAsia" w:asciiTheme="minorEastAsia" w:hAnsiTheme="minorEastAsia" w:eastAsiaTheme="minorEastAsia"/>
          <w:sz w:val="28"/>
          <w:szCs w:val="28"/>
        </w:rPr>
      </w:pPr>
      <w:r>
        <w:rPr>
          <w:rFonts w:asciiTheme="minorEastAsia" w:hAnsiTheme="minorEastAsia" w:eastAsiaTheme="minorEastAsia"/>
          <w:sz w:val="28"/>
          <w:szCs w:val="28"/>
        </w:rPr>
        <w:t>项目起草组于202</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07</w:t>
      </w:r>
      <w:r>
        <w:rPr>
          <w:rFonts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15</w:t>
      </w:r>
      <w:r>
        <w:rPr>
          <w:rFonts w:asciiTheme="minorEastAsia" w:hAnsiTheme="minorEastAsia" w:eastAsiaTheme="minorEastAsia"/>
          <w:sz w:val="28"/>
          <w:szCs w:val="28"/>
        </w:rPr>
        <w:t>日</w:t>
      </w:r>
      <w:r>
        <w:rPr>
          <w:rFonts w:hint="eastAsia" w:asciiTheme="minorEastAsia" w:hAnsiTheme="minorEastAsia" w:eastAsiaTheme="minorEastAsia"/>
          <w:sz w:val="28"/>
          <w:szCs w:val="28"/>
          <w:lang w:eastAsia="zh-CN"/>
        </w:rPr>
        <w:t>在江苏省市场监管局根据苏市监特设函〔2024〕</w:t>
      </w:r>
      <w:r>
        <w:rPr>
          <w:rFonts w:hint="eastAsia" w:asciiTheme="minorEastAsia" w:hAnsiTheme="minorEastAsia" w:eastAsiaTheme="minorEastAsia"/>
          <w:sz w:val="28"/>
          <w:szCs w:val="28"/>
          <w:lang w:val="en-US" w:eastAsia="zh-CN"/>
        </w:rPr>
        <w:t>102</w:t>
      </w:r>
      <w:r>
        <w:rPr>
          <w:rFonts w:hint="eastAsia" w:asciiTheme="minorEastAsia" w:hAnsiTheme="minorEastAsia" w:eastAsiaTheme="minorEastAsia"/>
          <w:sz w:val="28"/>
          <w:szCs w:val="28"/>
          <w:lang w:eastAsia="zh-CN"/>
        </w:rPr>
        <w:t>号《江苏省市场监管局关于进一步推进叉车智慧监管工作的通知》的精神</w:t>
      </w:r>
      <w:r>
        <w:rPr>
          <w:rFonts w:hint="eastAsia" w:asciiTheme="minorEastAsia" w:hAnsiTheme="minorEastAsia" w:eastAsiaTheme="minorEastAsia"/>
          <w:sz w:val="28"/>
          <w:szCs w:val="28"/>
        </w:rPr>
        <w:t>，对</w:t>
      </w:r>
      <w:r>
        <w:rPr>
          <w:rFonts w:hint="eastAsia" w:asciiTheme="minorEastAsia" w:hAnsiTheme="minorEastAsia" w:eastAsiaTheme="minorEastAsia"/>
          <w:sz w:val="28"/>
          <w:szCs w:val="28"/>
          <w:lang w:eastAsia="zh-CN"/>
        </w:rPr>
        <w:t>数据交互章节的内容进行修改，并对</w:t>
      </w:r>
      <w:r>
        <w:rPr>
          <w:rFonts w:hint="eastAsia" w:asciiTheme="minorEastAsia" w:hAnsiTheme="minorEastAsia" w:eastAsiaTheme="minorEastAsia"/>
          <w:sz w:val="28"/>
          <w:szCs w:val="28"/>
        </w:rPr>
        <w:t>修改的内容逐条进行了审查，形成地方标准送审稿。</w:t>
      </w:r>
    </w:p>
    <w:p>
      <w:pPr>
        <w:numPr>
          <w:ilvl w:val="0"/>
          <w:numId w:val="3"/>
        </w:numPr>
        <w:spacing w:beforeLines="0" w:afterLines="0"/>
        <w:ind w:firstLine="0" w:firstLineChars="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项目送审</w:t>
      </w:r>
    </w:p>
    <w:p>
      <w:pPr>
        <w:numPr>
          <w:ilvl w:val="0"/>
          <w:numId w:val="0"/>
        </w:numPr>
        <w:spacing w:beforeLines="0" w:afterLines="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项目</w:t>
      </w:r>
      <w:r>
        <w:rPr>
          <w:rFonts w:hint="eastAsia" w:asciiTheme="minorEastAsia" w:hAnsiTheme="minorEastAsia" w:eastAsiaTheme="minorEastAsia"/>
          <w:sz w:val="28"/>
          <w:szCs w:val="28"/>
          <w:lang w:eastAsia="zh-CN"/>
        </w:rPr>
        <w:t>审查会议</w:t>
      </w:r>
    </w:p>
    <w:p>
      <w:pPr>
        <w:spacing w:beforeLines="0" w:afterLines="0"/>
        <w:ind w:firstLine="480"/>
        <w:rPr>
          <w:rFonts w:hint="eastAsia" w:asciiTheme="minorEastAsia" w:hAnsiTheme="minorEastAsia" w:eastAsiaTheme="minorEastAsia"/>
          <w:sz w:val="28"/>
          <w:szCs w:val="28"/>
        </w:rPr>
      </w:pPr>
      <w:r>
        <w:rPr>
          <w:rFonts w:asciiTheme="minorEastAsia" w:hAnsiTheme="minorEastAsia" w:eastAsiaTheme="minorEastAsia"/>
          <w:sz w:val="28"/>
          <w:szCs w:val="28"/>
        </w:rPr>
        <w:t>项目起草组于202</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07</w:t>
      </w:r>
      <w:r>
        <w:rPr>
          <w:rFonts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26</w:t>
      </w:r>
      <w:r>
        <w:rPr>
          <w:rFonts w:asciiTheme="minorEastAsia" w:hAnsiTheme="minorEastAsia" w:eastAsiaTheme="minorEastAsia"/>
          <w:sz w:val="28"/>
          <w:szCs w:val="28"/>
        </w:rPr>
        <w:t>日</w:t>
      </w:r>
      <w:r>
        <w:rPr>
          <w:rFonts w:hint="eastAsia" w:asciiTheme="minorEastAsia" w:hAnsiTheme="minorEastAsia" w:eastAsiaTheme="minorEastAsia"/>
          <w:sz w:val="28"/>
          <w:szCs w:val="28"/>
          <w:lang w:eastAsia="zh-CN"/>
        </w:rPr>
        <w:t>在江苏省特检院接收江苏省市场监管局组织的专家审查会议</w:t>
      </w:r>
      <w:r>
        <w:rPr>
          <w:rFonts w:hint="eastAsia" w:asciiTheme="minorEastAsia" w:hAnsiTheme="minorEastAsia" w:eastAsiaTheme="minorEastAsia"/>
          <w:sz w:val="28"/>
          <w:szCs w:val="28"/>
        </w:rPr>
        <w:t>，对</w:t>
      </w:r>
      <w:r>
        <w:rPr>
          <w:rFonts w:hint="eastAsia" w:asciiTheme="minorEastAsia" w:hAnsiTheme="minorEastAsia" w:eastAsiaTheme="minorEastAsia"/>
          <w:sz w:val="28"/>
          <w:szCs w:val="28"/>
          <w:lang w:eastAsia="zh-CN"/>
        </w:rPr>
        <w:t>全文内容进行逐项审查，提出了</w:t>
      </w:r>
      <w:r>
        <w:rPr>
          <w:rFonts w:hint="eastAsia" w:asciiTheme="minorEastAsia" w:hAnsiTheme="minorEastAsia" w:eastAsiaTheme="minorEastAsia"/>
          <w:sz w:val="28"/>
          <w:szCs w:val="28"/>
          <w:lang w:val="en-US" w:eastAsia="zh-CN"/>
        </w:rPr>
        <w:t>19条意见</w:t>
      </w:r>
      <w:r>
        <w:rPr>
          <w:rFonts w:hint="eastAsia" w:asciiTheme="minorEastAsia" w:hAnsiTheme="minorEastAsia" w:eastAsiaTheme="minorEastAsia"/>
          <w:sz w:val="28"/>
          <w:szCs w:val="28"/>
          <w:lang w:eastAsia="zh-CN"/>
        </w:rPr>
        <w:t>形成了</w:t>
      </w:r>
      <w:r>
        <w:rPr>
          <w:rFonts w:hint="eastAsia" w:asciiTheme="minorEastAsia" w:hAnsiTheme="minorEastAsia" w:eastAsiaTheme="minorEastAsia"/>
          <w:sz w:val="28"/>
          <w:szCs w:val="28"/>
        </w:rPr>
        <w:t>审查</w:t>
      </w:r>
      <w:r>
        <w:rPr>
          <w:rFonts w:hint="eastAsia" w:asciiTheme="minorEastAsia" w:hAnsiTheme="minorEastAsia" w:eastAsiaTheme="minorEastAsia"/>
          <w:sz w:val="28"/>
          <w:szCs w:val="28"/>
          <w:lang w:eastAsia="zh-CN"/>
        </w:rPr>
        <w:t>会议纪要</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要求项目组按要求整改后形成送审稿</w:t>
      </w:r>
      <w:r>
        <w:rPr>
          <w:rFonts w:hint="eastAsia" w:asciiTheme="minorEastAsia" w:hAnsiTheme="minorEastAsia" w:eastAsiaTheme="minorEastAsia"/>
          <w:sz w:val="28"/>
          <w:szCs w:val="28"/>
        </w:rPr>
        <w:t>。</w:t>
      </w:r>
    </w:p>
    <w:p>
      <w:pPr>
        <w:spacing w:beforeLines="0" w:afterLines="0"/>
        <w:ind w:firstLine="0" w:firstLineChars="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项目</w:t>
      </w:r>
      <w:r>
        <w:rPr>
          <w:rFonts w:hint="eastAsia" w:asciiTheme="minorEastAsia" w:hAnsiTheme="minorEastAsia" w:eastAsiaTheme="minorEastAsia"/>
          <w:sz w:val="28"/>
          <w:szCs w:val="28"/>
          <w:lang w:eastAsia="zh-CN"/>
        </w:rPr>
        <w:t>起草组第八次工作会议</w:t>
      </w:r>
    </w:p>
    <w:p>
      <w:pPr>
        <w:spacing w:beforeLines="0" w:afterLines="0"/>
        <w:ind w:firstLine="480"/>
        <w:rPr>
          <w:rFonts w:hint="eastAsia" w:asciiTheme="minorEastAsia" w:hAnsiTheme="minorEastAsia" w:eastAsiaTheme="minorEastAsia"/>
          <w:sz w:val="28"/>
          <w:szCs w:val="28"/>
        </w:rPr>
      </w:pPr>
      <w:r>
        <w:rPr>
          <w:rFonts w:asciiTheme="minorEastAsia" w:hAnsiTheme="minorEastAsia" w:eastAsiaTheme="minorEastAsia"/>
          <w:sz w:val="28"/>
          <w:szCs w:val="28"/>
        </w:rPr>
        <w:t>项目起草组于202</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08</w:t>
      </w:r>
      <w:r>
        <w:rPr>
          <w:rFonts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20</w:t>
      </w:r>
      <w:r>
        <w:rPr>
          <w:rFonts w:asciiTheme="minorEastAsia" w:hAnsiTheme="minorEastAsia" w:eastAsiaTheme="minorEastAsia"/>
          <w:sz w:val="28"/>
          <w:szCs w:val="28"/>
        </w:rPr>
        <w:t>日</w:t>
      </w:r>
      <w:r>
        <w:rPr>
          <w:rFonts w:hint="eastAsia" w:asciiTheme="minorEastAsia" w:hAnsiTheme="minorEastAsia" w:eastAsiaTheme="minorEastAsia"/>
          <w:sz w:val="28"/>
          <w:szCs w:val="28"/>
          <w:lang w:eastAsia="zh-CN"/>
        </w:rPr>
        <w:t>按照审查会议纪要的要求对相关内容进行了整改，并由项目负责人将整改好的文件发给审查组的专家征求意见。</w:t>
      </w:r>
    </w:p>
    <w:p>
      <w:pPr>
        <w:spacing w:beforeLines="0" w:afterLines="0"/>
        <w:ind w:firstLine="0" w:firstLineChars="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项目</w:t>
      </w:r>
      <w:r>
        <w:rPr>
          <w:rFonts w:hint="eastAsia" w:asciiTheme="minorEastAsia" w:hAnsiTheme="minorEastAsia" w:eastAsiaTheme="minorEastAsia"/>
          <w:sz w:val="28"/>
          <w:szCs w:val="28"/>
          <w:lang w:eastAsia="zh-CN"/>
        </w:rPr>
        <w:t>起草组第九次工作会议</w:t>
      </w:r>
    </w:p>
    <w:p>
      <w:pPr>
        <w:spacing w:beforeLines="0" w:afterLines="0"/>
        <w:ind w:firstLine="480"/>
        <w:rPr>
          <w:rFonts w:hint="eastAsia" w:asciiTheme="minorEastAsia" w:hAnsiTheme="minorEastAsia" w:eastAsiaTheme="minorEastAsia"/>
          <w:sz w:val="28"/>
          <w:szCs w:val="28"/>
        </w:rPr>
      </w:pPr>
      <w:r>
        <w:rPr>
          <w:rFonts w:asciiTheme="minorEastAsia" w:hAnsiTheme="minorEastAsia" w:eastAsiaTheme="minorEastAsia"/>
          <w:sz w:val="28"/>
          <w:szCs w:val="28"/>
        </w:rPr>
        <w:t>项目起草组于202</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09</w:t>
      </w:r>
      <w:r>
        <w:rPr>
          <w:rFonts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27</w:t>
      </w:r>
      <w:r>
        <w:rPr>
          <w:rFonts w:asciiTheme="minorEastAsia" w:hAnsiTheme="minorEastAsia" w:eastAsiaTheme="minorEastAsia"/>
          <w:sz w:val="28"/>
          <w:szCs w:val="28"/>
        </w:rPr>
        <w:t>日</w:t>
      </w:r>
      <w:r>
        <w:rPr>
          <w:rFonts w:hint="eastAsia" w:asciiTheme="minorEastAsia" w:hAnsiTheme="minorEastAsia" w:eastAsiaTheme="minorEastAsia"/>
          <w:sz w:val="28"/>
          <w:szCs w:val="28"/>
          <w:lang w:eastAsia="zh-CN"/>
        </w:rPr>
        <w:t>按照审查组专家提出的</w:t>
      </w:r>
      <w:r>
        <w:rPr>
          <w:rFonts w:hint="eastAsia" w:asciiTheme="minorEastAsia" w:hAnsiTheme="minorEastAsia" w:eastAsiaTheme="minorEastAsia"/>
          <w:sz w:val="28"/>
          <w:szCs w:val="28"/>
          <w:lang w:val="en-US" w:eastAsia="zh-CN"/>
        </w:rPr>
        <w:t>23条</w:t>
      </w:r>
      <w:r>
        <w:rPr>
          <w:rFonts w:hint="eastAsia" w:asciiTheme="minorEastAsia" w:hAnsiTheme="minorEastAsia" w:eastAsiaTheme="minorEastAsia"/>
          <w:sz w:val="28"/>
          <w:szCs w:val="28"/>
          <w:lang w:eastAsia="zh-CN"/>
        </w:rPr>
        <w:t>意见对相关内容进行了整改形成了报批稿</w:t>
      </w:r>
      <w:r>
        <w:rPr>
          <w:rFonts w:hint="eastAsia" w:asciiTheme="minorEastAsia" w:hAnsiTheme="minorEastAsia" w:eastAsiaTheme="minorEastAsia"/>
          <w:sz w:val="28"/>
          <w:szCs w:val="28"/>
        </w:rPr>
        <w:t>。</w:t>
      </w:r>
    </w:p>
    <w:p>
      <w:pPr>
        <w:numPr>
          <w:ilvl w:val="0"/>
          <w:numId w:val="0"/>
        </w:numPr>
        <w:spacing w:beforeLines="0" w:afterLines="0"/>
        <w:ind w:firstLine="0" w:firstLineChars="0"/>
        <w:rPr>
          <w:rFonts w:hint="eastAsia" w:asciiTheme="minorEastAsia" w:hAnsiTheme="minorEastAsia" w:eastAsiaTheme="minorEastAsia"/>
          <w:sz w:val="28"/>
          <w:szCs w:val="28"/>
        </w:rPr>
      </w:pPr>
      <w:r>
        <w:rPr>
          <w:rFonts w:hint="eastAsia" w:cs="Arial" w:asciiTheme="minorEastAsia" w:hAnsiTheme="minorEastAsia" w:eastAsiaTheme="minorEastAsia"/>
          <w:snapToGrid w:val="0"/>
          <w:color w:val="000000"/>
          <w:sz w:val="28"/>
          <w:szCs w:val="28"/>
          <w:lang w:val="en-US" w:eastAsia="zh-CN" w:bidi="ar-SA"/>
        </w:rPr>
        <w:t>4.征求意见共</w:t>
      </w:r>
      <w:r>
        <w:rPr>
          <w:rFonts w:hint="eastAsia" w:asciiTheme="minorEastAsia" w:hAnsiTheme="minorEastAsia" w:eastAsiaTheme="minorEastAsia"/>
          <w:sz w:val="28"/>
          <w:szCs w:val="28"/>
        </w:rPr>
        <w:t>共征求</w:t>
      </w:r>
      <w:r>
        <w:rPr>
          <w:rFonts w:asciiTheme="minorEastAsia" w:hAnsiTheme="minorEastAsia" w:eastAsiaTheme="minorEastAsia"/>
          <w:sz w:val="28"/>
          <w:szCs w:val="28"/>
        </w:rPr>
        <w:t>28</w:t>
      </w:r>
      <w:r>
        <w:rPr>
          <w:rFonts w:hint="eastAsia" w:asciiTheme="minorEastAsia" w:hAnsiTheme="minorEastAsia" w:eastAsiaTheme="minorEastAsia"/>
          <w:sz w:val="28"/>
          <w:szCs w:val="28"/>
        </w:rPr>
        <w:t>个单位意见，收到</w:t>
      </w:r>
      <w:r>
        <w:rPr>
          <w:rFonts w:asciiTheme="minorEastAsia" w:hAnsiTheme="minorEastAsia" w:eastAsiaTheme="minorEastAsia"/>
          <w:sz w:val="28"/>
          <w:szCs w:val="28"/>
        </w:rPr>
        <w:t>14</w:t>
      </w:r>
      <w:r>
        <w:rPr>
          <w:rFonts w:hint="eastAsia" w:asciiTheme="minorEastAsia" w:hAnsiTheme="minorEastAsia" w:eastAsiaTheme="minorEastAsia"/>
          <w:sz w:val="28"/>
          <w:szCs w:val="28"/>
        </w:rPr>
        <w:t>家单位的</w:t>
      </w:r>
      <w:r>
        <w:rPr>
          <w:rFonts w:asciiTheme="minorEastAsia" w:hAnsiTheme="minorEastAsia" w:eastAsiaTheme="minorEastAsia"/>
          <w:sz w:val="28"/>
          <w:szCs w:val="28"/>
        </w:rPr>
        <w:t>68</w:t>
      </w:r>
      <w:r>
        <w:rPr>
          <w:rFonts w:hint="eastAsia" w:asciiTheme="minorEastAsia" w:hAnsiTheme="minorEastAsia" w:eastAsiaTheme="minorEastAsia"/>
          <w:sz w:val="28"/>
          <w:szCs w:val="28"/>
        </w:rPr>
        <w:t>条反馈意见，采纳了其中</w:t>
      </w:r>
      <w:r>
        <w:rPr>
          <w:rFonts w:hint="eastAsia" w:asciiTheme="minorEastAsia" w:hAnsiTheme="minorEastAsia" w:eastAsiaTheme="minorEastAsia"/>
          <w:sz w:val="28"/>
          <w:szCs w:val="28"/>
          <w:lang w:val="en-US" w:eastAsia="zh-CN"/>
        </w:rPr>
        <w:t>43</w:t>
      </w:r>
      <w:r>
        <w:rPr>
          <w:rFonts w:hint="eastAsia" w:asciiTheme="minorEastAsia" w:hAnsiTheme="minorEastAsia" w:eastAsiaTheme="minorEastAsia"/>
          <w:sz w:val="28"/>
          <w:szCs w:val="28"/>
        </w:rPr>
        <w:t>条，部分采纳</w:t>
      </w:r>
      <w:r>
        <w:rPr>
          <w:rFonts w:hint="eastAsia" w:asciiTheme="minorEastAsia" w:hAnsiTheme="minorEastAsia" w:eastAsiaTheme="minorEastAsia"/>
          <w:sz w:val="28"/>
          <w:szCs w:val="28"/>
          <w:lang w:val="en-US" w:eastAsia="zh-CN"/>
        </w:rPr>
        <w:t>16</w:t>
      </w:r>
      <w:r>
        <w:rPr>
          <w:rFonts w:hint="eastAsia" w:asciiTheme="minorEastAsia" w:hAnsiTheme="minorEastAsia" w:eastAsiaTheme="minorEastAsia"/>
          <w:sz w:val="28"/>
          <w:szCs w:val="28"/>
        </w:rPr>
        <w:t>条，不采纳</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条。</w:t>
      </w:r>
    </w:p>
    <w:p>
      <w:pPr>
        <w:numPr>
          <w:ilvl w:val="0"/>
          <w:numId w:val="0"/>
        </w:numPr>
        <w:spacing w:beforeLines="0" w:afterLines="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  审查会议纪要提出了19条意见，全部采纳；</w:t>
      </w:r>
    </w:p>
    <w:p>
      <w:pPr>
        <w:numPr>
          <w:ilvl w:val="0"/>
          <w:numId w:val="0"/>
        </w:numPr>
        <w:spacing w:beforeLines="0" w:afterLines="0"/>
        <w:ind w:firstLine="280" w:firstLineChars="1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审查组专家提出了</w:t>
      </w:r>
      <w:r>
        <w:rPr>
          <w:rFonts w:hint="eastAsia" w:ascii="宋体" w:hAnsi="宋体"/>
          <w:color w:val="000000" w:themeColor="text1"/>
          <w:sz w:val="28"/>
          <w:szCs w:val="22"/>
          <w:lang w:val="en-US" w:eastAsia="zh-CN"/>
          <w14:textFill>
            <w14:solidFill>
              <w14:schemeClr w14:val="tx1"/>
            </w14:solidFill>
          </w14:textFill>
        </w:rPr>
        <w:t>23</w:t>
      </w:r>
      <w:r>
        <w:rPr>
          <w:rFonts w:hint="eastAsia" w:asciiTheme="minorEastAsia" w:hAnsiTheme="minorEastAsia" w:eastAsiaTheme="minorEastAsia"/>
          <w:sz w:val="28"/>
          <w:szCs w:val="28"/>
          <w:lang w:eastAsia="zh-CN"/>
        </w:rPr>
        <w:t>条意见，采纳了其中</w:t>
      </w:r>
      <w:r>
        <w:rPr>
          <w:rFonts w:hint="eastAsia" w:asciiTheme="minorEastAsia" w:hAnsiTheme="minorEastAsia" w:eastAsiaTheme="minorEastAsia"/>
          <w:sz w:val="28"/>
          <w:szCs w:val="28"/>
          <w:lang w:val="en-US" w:eastAsia="zh-CN"/>
        </w:rPr>
        <w:t>22</w:t>
      </w:r>
      <w:r>
        <w:rPr>
          <w:rFonts w:hint="eastAsia" w:asciiTheme="minorEastAsia" w:hAnsiTheme="minorEastAsia" w:eastAsiaTheme="minorEastAsia"/>
          <w:sz w:val="28"/>
          <w:szCs w:val="28"/>
          <w:lang w:eastAsia="zh-CN"/>
        </w:rPr>
        <w:t>条，不采纳</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lang w:eastAsia="zh-CN"/>
        </w:rPr>
        <w:t>条。</w:t>
      </w:r>
    </w:p>
    <w:p>
      <w:pPr>
        <w:numPr>
          <w:ilvl w:val="0"/>
          <w:numId w:val="0"/>
        </w:numPr>
        <w:spacing w:beforeLines="0" w:afterLines="0"/>
        <w:ind w:firstLine="280" w:firstLineChars="1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eastAsia="zh-CN"/>
        </w:rPr>
        <w:t>一共收到</w:t>
      </w:r>
      <w:r>
        <w:rPr>
          <w:rFonts w:hint="eastAsia" w:asciiTheme="minorEastAsia" w:hAnsiTheme="minorEastAsia" w:eastAsiaTheme="minorEastAsia"/>
          <w:sz w:val="28"/>
          <w:szCs w:val="28"/>
          <w:lang w:val="en-US" w:eastAsia="zh-CN"/>
        </w:rPr>
        <w:t>110条意见，采纳了84条，部分采纳16条，不采纳10条。</w:t>
      </w:r>
    </w:p>
    <w:p>
      <w:pPr>
        <w:pStyle w:val="5"/>
        <w:bidi w:val="0"/>
        <w:outlineLvl w:val="0"/>
        <w:rPr>
          <w:rFonts w:hint="eastAsia"/>
          <w:lang w:eastAsia="zh-CN"/>
        </w:rPr>
      </w:pPr>
      <w:bookmarkStart w:id="3" w:name="_Toc6131"/>
      <w:r>
        <w:rPr>
          <w:rFonts w:hint="eastAsia"/>
        </w:rPr>
        <w:t>四</w:t>
      </w:r>
      <w:r>
        <w:t>.</w:t>
      </w:r>
      <w:r>
        <w:rPr>
          <w:rFonts w:hint="eastAsia"/>
        </w:rPr>
        <w:t>主要内容</w:t>
      </w:r>
      <w:r>
        <w:rPr>
          <w:rFonts w:hint="eastAsia"/>
          <w:lang w:eastAsia="zh-CN"/>
        </w:rPr>
        <w:t>及</w:t>
      </w:r>
      <w:r>
        <w:rPr>
          <w:rFonts w:hint="eastAsia"/>
        </w:rPr>
        <w:t>技术</w:t>
      </w:r>
      <w:r>
        <w:t>指标确立</w:t>
      </w:r>
      <w:r>
        <w:rPr>
          <w:rFonts w:hint="eastAsia"/>
          <w:lang w:eastAsia="zh-CN"/>
        </w:rPr>
        <w:t>的依据</w:t>
      </w:r>
      <w:bookmarkEnd w:id="3"/>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1、主要内容</w:t>
      </w:r>
    </w:p>
    <w:p>
      <w:pPr>
        <w:spacing w:beforeLines="0" w:afterLines="0"/>
        <w:ind w:firstLine="0" w:firstLineChars="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1.1 包含范围、规范性引用文件、术语和定义、整体架构及建设要求、</w:t>
      </w:r>
      <w:r>
        <w:rPr>
          <w:rFonts w:hint="eastAsia" w:asciiTheme="minorEastAsia" w:hAnsiTheme="minorEastAsia" w:eastAsiaTheme="minorEastAsia"/>
          <w:sz w:val="28"/>
          <w:szCs w:val="28"/>
          <w:lang w:val="en-US" w:eastAsia="zh-CN"/>
        </w:rPr>
        <w:t>物联设备、场车</w:t>
      </w:r>
      <w:r>
        <w:rPr>
          <w:rFonts w:hint="eastAsia" w:asciiTheme="minorEastAsia" w:hAnsiTheme="minorEastAsia" w:eastAsiaTheme="minorEastAsia"/>
          <w:sz w:val="28"/>
          <w:szCs w:val="28"/>
        </w:rPr>
        <w:t>应用系统、</w:t>
      </w:r>
      <w:r>
        <w:rPr>
          <w:rFonts w:hint="eastAsia" w:asciiTheme="minorEastAsia" w:hAnsiTheme="minorEastAsia" w:eastAsiaTheme="minorEastAsia"/>
          <w:sz w:val="28"/>
          <w:szCs w:val="28"/>
          <w:lang w:val="en-US" w:eastAsia="zh-CN"/>
        </w:rPr>
        <w:t>场车大数据平台、</w:t>
      </w:r>
      <w:r>
        <w:rPr>
          <w:rFonts w:hint="eastAsia" w:asciiTheme="minorEastAsia" w:hAnsiTheme="minorEastAsia" w:eastAsiaTheme="minorEastAsia"/>
          <w:sz w:val="28"/>
          <w:szCs w:val="28"/>
        </w:rPr>
        <w:t>数据交互、数据安全</w:t>
      </w:r>
      <w:r>
        <w:rPr>
          <w:rFonts w:hint="eastAsia" w:asciiTheme="minorEastAsia" w:hAnsiTheme="minorEastAsia" w:eastAsiaTheme="minorEastAsia"/>
          <w:sz w:val="28"/>
          <w:szCs w:val="28"/>
          <w:lang w:val="en-US" w:eastAsia="zh-CN"/>
        </w:rPr>
        <w:t>和评价验证方法。</w:t>
      </w:r>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（1）范围</w:t>
      </w:r>
    </w:p>
    <w:p>
      <w:pPr>
        <w:spacing w:beforeLines="0" w:afterLines="0"/>
        <w:ind w:firstLine="48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规定了本标准的使用范围</w:t>
      </w:r>
      <w:r>
        <w:rPr>
          <w:rFonts w:hint="eastAsia" w:asciiTheme="minorEastAsia" w:hAnsiTheme="minorEastAsia" w:eastAsiaTheme="minorEastAsia"/>
          <w:sz w:val="28"/>
          <w:szCs w:val="28"/>
          <w:lang w:eastAsia="zh-CN"/>
        </w:rPr>
        <w:t>。</w:t>
      </w:r>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（2）规范性引用文件</w:t>
      </w:r>
    </w:p>
    <w:p>
      <w:pPr>
        <w:spacing w:beforeLines="0" w:afterLines="0"/>
        <w:ind w:firstLine="48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规定了本标准需要引用的、必不可少的文件，主要包括了信息技术系统间远程通信和信息交换、</w:t>
      </w:r>
      <w:r>
        <w:rPr>
          <w:rFonts w:hint="eastAsia" w:asciiTheme="minorEastAsia" w:hAnsiTheme="minorEastAsia" w:eastAsiaTheme="minorEastAsia"/>
          <w:sz w:val="28"/>
          <w:szCs w:val="28"/>
          <w:lang w:val="en-US" w:eastAsia="zh-CN"/>
        </w:rPr>
        <w:t>机械安全 设计通则 风险评估与风险减小、机械安全 急停功能设计原则、工业车辆 安全监控管理系统的相关文件。</w:t>
      </w:r>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（3）术语和定义</w:t>
      </w:r>
    </w:p>
    <w:p>
      <w:pPr>
        <w:spacing w:beforeLines="0" w:afterLines="0"/>
        <w:ind w:firstLine="480"/>
        <w:rPr>
          <w:rFonts w:asciiTheme="minorEastAsia" w:hAnsiTheme="minorEastAsia" w:eastAsiaTheme="minorEastAsia"/>
          <w:sz w:val="28"/>
          <w:szCs w:val="28"/>
        </w:rPr>
      </w:pPr>
      <w:r>
        <w:rPr>
          <w:rFonts w:hint="eastAsia" w:asciiTheme="minorEastAsia" w:hAnsiTheme="minorEastAsia" w:eastAsiaTheme="minorEastAsia"/>
          <w:sz w:val="28"/>
          <w:szCs w:val="28"/>
        </w:rPr>
        <w:t>参考相关标准，规范及行业惯例，对适用于本标准表述的“ 场（厂）内专用机动车辆”、</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物联设备</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“场车智慧管理大数据平台”</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场车智慧管理</w:t>
      </w:r>
      <w:r>
        <w:rPr>
          <w:rFonts w:hint="eastAsia" w:asciiTheme="minorEastAsia" w:hAnsiTheme="minorEastAsia" w:eastAsiaTheme="minorEastAsia"/>
          <w:sz w:val="28"/>
          <w:szCs w:val="28"/>
          <w:lang w:val="en-US" w:eastAsia="zh-CN"/>
        </w:rPr>
        <w:t>应用</w:t>
      </w:r>
      <w:r>
        <w:rPr>
          <w:rFonts w:hint="eastAsia" w:asciiTheme="minorEastAsia" w:hAnsiTheme="minorEastAsia" w:eastAsiaTheme="minorEastAsia"/>
          <w:sz w:val="28"/>
          <w:szCs w:val="28"/>
        </w:rPr>
        <w:t>系统</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等做了名词定义。</w:t>
      </w:r>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（4）整体架构及建设要求</w:t>
      </w:r>
    </w:p>
    <w:p>
      <w:pPr>
        <w:spacing w:beforeLines="0" w:afterLines="0"/>
        <w:ind w:firstLine="480"/>
        <w:rPr>
          <w:rFonts w:asciiTheme="minorEastAsia" w:hAnsiTheme="minorEastAsia" w:eastAsiaTheme="minorEastAsia"/>
          <w:sz w:val="28"/>
          <w:szCs w:val="28"/>
        </w:rPr>
      </w:pPr>
      <w:r>
        <w:rPr>
          <w:rFonts w:hint="eastAsia" w:asciiTheme="minorEastAsia" w:hAnsiTheme="minorEastAsia" w:eastAsiaTheme="minorEastAsia"/>
          <w:sz w:val="28"/>
          <w:szCs w:val="28"/>
        </w:rPr>
        <w:t>规定了场车智慧管理大数据平台、各场车智慧管理应用系统、物联设备和场车组成</w:t>
      </w:r>
      <w:r>
        <w:rPr>
          <w:rFonts w:hint="eastAsia" w:asciiTheme="minorEastAsia" w:hAnsiTheme="minorEastAsia" w:eastAsiaTheme="minorEastAsia"/>
          <w:sz w:val="28"/>
          <w:szCs w:val="28"/>
          <w:lang w:val="en-US" w:eastAsia="zh-CN"/>
        </w:rPr>
        <w:t>架构</w:t>
      </w:r>
      <w:r>
        <w:rPr>
          <w:rFonts w:hint="eastAsia" w:asciiTheme="minorEastAsia" w:hAnsiTheme="minorEastAsia" w:eastAsiaTheme="minorEastAsia"/>
          <w:sz w:val="28"/>
          <w:szCs w:val="28"/>
        </w:rPr>
        <w:t>内容。并且规定了应用系统开发商应具有相应的资质</w:t>
      </w:r>
      <w:r>
        <w:rPr>
          <w:rFonts w:hint="eastAsia" w:asciiTheme="minorEastAsia" w:hAnsiTheme="minorEastAsia" w:eastAsiaTheme="minorEastAsia"/>
          <w:sz w:val="28"/>
          <w:szCs w:val="28"/>
          <w:lang w:val="en-US" w:eastAsia="zh-CN"/>
        </w:rPr>
        <w:t>、物联设备应满足的要求和应用系统评级机构资质</w:t>
      </w:r>
      <w:r>
        <w:rPr>
          <w:rFonts w:hint="eastAsia" w:asciiTheme="minorEastAsia" w:hAnsiTheme="minorEastAsia" w:eastAsiaTheme="minorEastAsia"/>
          <w:sz w:val="28"/>
          <w:szCs w:val="28"/>
        </w:rPr>
        <w:t>等的内容。</w:t>
      </w:r>
    </w:p>
    <w:p>
      <w:pPr>
        <w:numPr>
          <w:ilvl w:val="0"/>
          <w:numId w:val="4"/>
        </w:numPr>
        <w:spacing w:beforeLines="0" w:afterLines="0"/>
        <w:ind w:firstLine="0" w:firstLineChars="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物联设备</w:t>
      </w:r>
    </w:p>
    <w:p>
      <w:pPr>
        <w:numPr>
          <w:ilvl w:val="0"/>
          <w:numId w:val="0"/>
        </w:numPr>
        <w:spacing w:beforeLines="0" w:afterLines="0"/>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包括规定了</w:t>
      </w:r>
      <w:r>
        <w:rPr>
          <w:rFonts w:hint="eastAsia" w:asciiTheme="minorEastAsia" w:hAnsiTheme="minorEastAsia" w:eastAsiaTheme="minorEastAsia"/>
          <w:sz w:val="28"/>
          <w:szCs w:val="28"/>
          <w:lang w:val="en-US" w:eastAsia="zh-CN"/>
        </w:rPr>
        <w:t>物联设备数据存储的要求；物联设备</w:t>
      </w:r>
      <w:r>
        <w:rPr>
          <w:rFonts w:hint="eastAsia" w:asciiTheme="minorEastAsia" w:hAnsiTheme="minorEastAsia" w:eastAsiaTheme="minorEastAsia"/>
          <w:sz w:val="28"/>
          <w:szCs w:val="28"/>
        </w:rPr>
        <w:t>的基本功能和扩展功能。</w:t>
      </w:r>
    </w:p>
    <w:p>
      <w:pPr>
        <w:numPr>
          <w:ilvl w:val="0"/>
          <w:numId w:val="4"/>
        </w:numPr>
        <w:spacing w:beforeLines="0" w:afterLines="0"/>
        <w:ind w:firstLine="0" w:firstLineChars="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场车</w:t>
      </w:r>
      <w:r>
        <w:rPr>
          <w:rFonts w:hint="eastAsia" w:asciiTheme="minorEastAsia" w:hAnsiTheme="minorEastAsia" w:eastAsiaTheme="minorEastAsia"/>
          <w:sz w:val="28"/>
          <w:szCs w:val="28"/>
        </w:rPr>
        <w:t>应用系统</w:t>
      </w:r>
    </w:p>
    <w:p>
      <w:pPr>
        <w:numPr>
          <w:ilvl w:val="0"/>
          <w:numId w:val="0"/>
        </w:numPr>
        <w:spacing w:beforeLines="0" w:afterLines="0"/>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包括了</w:t>
      </w:r>
      <w:r>
        <w:rPr>
          <w:rFonts w:hint="eastAsia" w:asciiTheme="minorEastAsia" w:hAnsiTheme="minorEastAsia" w:eastAsiaTheme="minorEastAsia"/>
          <w:sz w:val="28"/>
          <w:szCs w:val="28"/>
        </w:rPr>
        <w:t>合法性验证、预警提</w:t>
      </w:r>
      <w:r>
        <w:rPr>
          <w:rFonts w:hint="eastAsia" w:asciiTheme="minorEastAsia" w:hAnsiTheme="minorEastAsia" w:eastAsiaTheme="minorEastAsia"/>
          <w:sz w:val="28"/>
          <w:szCs w:val="28"/>
          <w:lang w:val="en-US" w:eastAsia="zh-CN"/>
        </w:rPr>
        <w:t>示</w:t>
      </w:r>
      <w:r>
        <w:rPr>
          <w:rFonts w:hint="eastAsia" w:asciiTheme="minorEastAsia" w:hAnsiTheme="minorEastAsia" w:eastAsiaTheme="minorEastAsia"/>
          <w:sz w:val="28"/>
          <w:szCs w:val="28"/>
        </w:rPr>
        <w:t>、定位及数据处理以及车辆不点检不能启动的相关内容。同时指出</w:t>
      </w:r>
      <w:r>
        <w:rPr>
          <w:rFonts w:hint="eastAsia" w:asciiTheme="minorEastAsia" w:hAnsiTheme="minorEastAsia" w:eastAsiaTheme="minorEastAsia"/>
          <w:sz w:val="28"/>
          <w:szCs w:val="28"/>
          <w:lang w:val="en-US" w:eastAsia="zh-CN"/>
        </w:rPr>
        <w:t>还要求有作业人员安全警示教育的内容。以上均应</w:t>
      </w:r>
      <w:r>
        <w:rPr>
          <w:rFonts w:hint="eastAsia" w:asciiTheme="minorEastAsia" w:hAnsiTheme="minorEastAsia" w:eastAsiaTheme="minorEastAsia"/>
          <w:sz w:val="28"/>
          <w:szCs w:val="28"/>
        </w:rPr>
        <w:t>满足了TSG81对相关内容的要求</w:t>
      </w:r>
    </w:p>
    <w:p>
      <w:pPr>
        <w:numPr>
          <w:ilvl w:val="0"/>
          <w:numId w:val="4"/>
        </w:numPr>
        <w:spacing w:beforeLines="0" w:afterLines="0"/>
        <w:ind w:firstLine="0" w:firstLineChars="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场车大数据平台</w:t>
      </w:r>
    </w:p>
    <w:p>
      <w:pPr>
        <w:numPr>
          <w:ilvl w:val="0"/>
          <w:numId w:val="0"/>
        </w:numPr>
        <w:spacing w:beforeLines="0" w:afterLines="0"/>
        <w:ind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包括了大数据平台向各应用系统下发场车基础数据和应用系统向大数据平台上报的场车运行数据。同时提出了支持主备中心和异地容灾的要求。</w:t>
      </w:r>
    </w:p>
    <w:p>
      <w:pPr>
        <w:spacing w:beforeLines="0" w:afterLines="0"/>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8</w:t>
      </w:r>
      <w:r>
        <w:rPr>
          <w:rFonts w:hint="eastAsia" w:asciiTheme="minorEastAsia" w:hAnsiTheme="minorEastAsia" w:eastAsiaTheme="minorEastAsia"/>
          <w:sz w:val="28"/>
          <w:szCs w:val="28"/>
        </w:rPr>
        <w:t>）数据交互</w:t>
      </w:r>
    </w:p>
    <w:p>
      <w:pPr>
        <w:spacing w:beforeLines="0" w:afterLines="0"/>
        <w:ind w:firstLine="560" w:firstLineChars="200"/>
        <w:rPr>
          <w:rFonts w:hint="eastAsia" w:cs="Arial" w:asciiTheme="minorEastAsia" w:hAnsiTheme="minorEastAsia" w:eastAsiaTheme="minorEastAsia"/>
          <w:sz w:val="28"/>
          <w:szCs w:val="28"/>
        </w:rPr>
      </w:pPr>
      <w:r>
        <w:rPr>
          <w:rFonts w:hint="eastAsia" w:cs="Arial" w:asciiTheme="minorEastAsia" w:hAnsiTheme="minorEastAsia" w:eastAsiaTheme="minorEastAsia"/>
          <w:sz w:val="28"/>
          <w:szCs w:val="28"/>
        </w:rPr>
        <w:t>规定了场车智慧管理大数据平台为全省各场车智慧管理应用系统提供基础数据的内容。规定了物联设备</w:t>
      </w:r>
      <w:r>
        <w:rPr>
          <w:rFonts w:hint="eastAsia" w:cs="Arial" w:asciiTheme="minorEastAsia" w:hAnsiTheme="minorEastAsia" w:eastAsiaTheme="minorEastAsia"/>
          <w:sz w:val="28"/>
          <w:szCs w:val="28"/>
          <w:lang w:eastAsia="zh-CN"/>
        </w:rPr>
        <w:t>、</w:t>
      </w:r>
      <w:r>
        <w:rPr>
          <w:rFonts w:hint="eastAsia" w:cs="Arial" w:asciiTheme="minorEastAsia" w:hAnsiTheme="minorEastAsia" w:eastAsiaTheme="minorEastAsia"/>
          <w:sz w:val="28"/>
          <w:szCs w:val="28"/>
        </w:rPr>
        <w:t>场车智慧管理应用系统与场车智慧管理大数据平台间的数据交互标准。规定了物联设备</w:t>
      </w:r>
      <w:r>
        <w:rPr>
          <w:rFonts w:hint="eastAsia" w:cs="Arial" w:asciiTheme="minorEastAsia" w:hAnsiTheme="minorEastAsia" w:eastAsiaTheme="minorEastAsia"/>
          <w:sz w:val="28"/>
          <w:szCs w:val="28"/>
          <w:lang w:eastAsia="zh-CN"/>
        </w:rPr>
        <w:t>、</w:t>
      </w:r>
      <w:r>
        <w:rPr>
          <w:rFonts w:hint="eastAsia" w:cs="Arial" w:asciiTheme="minorEastAsia" w:hAnsiTheme="minorEastAsia" w:eastAsiaTheme="minorEastAsia"/>
          <w:sz w:val="28"/>
          <w:szCs w:val="28"/>
        </w:rPr>
        <w:t>场车智慧管理应用系统与场车智慧管理大数据平台的协议基础以及协议内容。明确了数据上报时的格式规范与各项内容定义。</w:t>
      </w:r>
    </w:p>
    <w:p>
      <w:pPr>
        <w:keepNext w:val="0"/>
        <w:keepLines w:val="0"/>
        <w:pageBreakBefore w:val="0"/>
        <w:widowControl/>
        <w:kinsoku w:val="0"/>
        <w:wordWrap/>
        <w:overflowPunct/>
        <w:topLinePunct w:val="0"/>
        <w:autoSpaceDE w:val="0"/>
        <w:autoSpaceDN w:val="0"/>
        <w:bidi w:val="0"/>
        <w:adjustRightInd w:val="0"/>
        <w:snapToGrid w:val="0"/>
        <w:spacing w:beforeLines="0" w:afterLines="0"/>
        <w:ind w:firstLine="0" w:firstLineChars="0"/>
        <w:textAlignment w:val="baseline"/>
        <w:rPr>
          <w:rFonts w:hint="eastAsia" w:asciiTheme="minorEastAsia" w:hAnsiTheme="minorEastAsia" w:eastAsiaTheme="minorEastAsia"/>
          <w:sz w:val="28"/>
          <w:szCs w:val="28"/>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数据安全</w:t>
      </w:r>
    </w:p>
    <w:p>
      <w:pPr>
        <w:spacing w:beforeLines="0" w:afterLines="0"/>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规定了场车所有者应该对系统产生的数据进行风险识别和风险管控。满足《中华人民共和国数据安全法》中关于数据安全的规定和要求。</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beforeLines="0" w:afterLines="0"/>
        <w:ind w:firstLine="0" w:firstLineChars="0"/>
        <w:textAlignment w:val="baseline"/>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评价验证方法</w:t>
      </w:r>
    </w:p>
    <w:p>
      <w:pPr>
        <w:spacing w:beforeLines="0" w:afterLines="0"/>
        <w:ind w:firstLine="48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规定了评价确认的方法及评价确认机构。</w:t>
      </w:r>
    </w:p>
    <w:p>
      <w:pPr>
        <w:keepNext w:val="0"/>
        <w:keepLines w:val="0"/>
        <w:pageBreakBefore w:val="0"/>
        <w:widowControl/>
        <w:kinsoku w:val="0"/>
        <w:wordWrap/>
        <w:overflowPunct/>
        <w:topLinePunct w:val="0"/>
        <w:autoSpaceDE w:val="0"/>
        <w:autoSpaceDN w:val="0"/>
        <w:bidi w:val="0"/>
        <w:adjustRightInd w:val="0"/>
        <w:snapToGrid w:val="0"/>
        <w:spacing w:beforeLines="0" w:afterLines="0"/>
        <w:ind w:firstLine="0" w:firstLineChars="0"/>
        <w:textAlignment w:val="baseline"/>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1.2 本标准对全省场车智慧安全监管系统进行梳理，对系统架构、物联设备、应用系统</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大数据平台、</w:t>
      </w:r>
      <w:r>
        <w:rPr>
          <w:rFonts w:hint="eastAsia" w:asciiTheme="minorEastAsia" w:hAnsiTheme="minorEastAsia" w:eastAsiaTheme="minorEastAsia"/>
          <w:sz w:val="28"/>
          <w:szCs w:val="28"/>
        </w:rPr>
        <w:t>数据交互、数据</w:t>
      </w:r>
      <w:r>
        <w:rPr>
          <w:rFonts w:hint="eastAsia" w:asciiTheme="minorEastAsia" w:hAnsiTheme="minorEastAsia" w:eastAsiaTheme="minorEastAsia"/>
          <w:sz w:val="28"/>
          <w:szCs w:val="28"/>
          <w:lang w:val="en-US" w:eastAsia="zh-CN"/>
        </w:rPr>
        <w:t>安全、评价验证方法等</w:t>
      </w:r>
      <w:r>
        <w:rPr>
          <w:rFonts w:hint="eastAsia" w:asciiTheme="minorEastAsia" w:hAnsiTheme="minorEastAsia" w:eastAsiaTheme="minorEastAsia"/>
          <w:sz w:val="28"/>
          <w:szCs w:val="28"/>
        </w:rPr>
        <w:t>进行规定。明确特种设备安全监督管理部门、特种设备检验检测机构、特种设备生产（设计、制造、安装、改造、修理）单位</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使用单位</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智慧管理应用系统开发商的职责权限。明确</w:t>
      </w:r>
      <w:r>
        <w:rPr>
          <w:rFonts w:hint="eastAsia" w:asciiTheme="minorEastAsia" w:hAnsiTheme="minorEastAsia" w:eastAsiaTheme="minorEastAsia"/>
          <w:sz w:val="28"/>
          <w:szCs w:val="28"/>
          <w:lang w:val="en-US" w:eastAsia="zh-CN"/>
        </w:rPr>
        <w:t>了物联设备、</w:t>
      </w:r>
      <w:r>
        <w:rPr>
          <w:rFonts w:hint="eastAsia" w:asciiTheme="minorEastAsia" w:hAnsiTheme="minorEastAsia" w:eastAsiaTheme="minorEastAsia"/>
          <w:sz w:val="28"/>
          <w:szCs w:val="28"/>
        </w:rPr>
        <w:t>场车智慧管理应用系统和场车智慧管理大数据平台</w:t>
      </w:r>
      <w:r>
        <w:rPr>
          <w:rFonts w:hint="eastAsia" w:asciiTheme="minorEastAsia" w:hAnsiTheme="minorEastAsia" w:eastAsiaTheme="minorEastAsia"/>
          <w:sz w:val="28"/>
          <w:szCs w:val="28"/>
          <w:lang w:val="en-US" w:eastAsia="zh-CN"/>
        </w:rPr>
        <w:t>之</w:t>
      </w:r>
      <w:r>
        <w:rPr>
          <w:rFonts w:hint="eastAsia" w:asciiTheme="minorEastAsia" w:hAnsiTheme="minorEastAsia" w:eastAsiaTheme="minorEastAsia"/>
          <w:sz w:val="28"/>
          <w:szCs w:val="28"/>
        </w:rPr>
        <w:t>间数据交互应遵循数据交互标准</w:t>
      </w:r>
      <w:r>
        <w:rPr>
          <w:rFonts w:hint="eastAsia" w:asciiTheme="minorEastAsia" w:hAnsiTheme="minorEastAsia" w:eastAsiaTheme="minorEastAsia"/>
          <w:sz w:val="28"/>
          <w:szCs w:val="28"/>
          <w:lang w:val="en-US" w:eastAsia="zh-CN"/>
        </w:rPr>
        <w:t>以及数据安全的要求。明确了智慧管理应用系统的评价单位及评价方法</w:t>
      </w:r>
      <w:r>
        <w:rPr>
          <w:rFonts w:hint="eastAsia" w:asciiTheme="minorEastAsia" w:hAnsiTheme="minorEastAsia" w:eastAsiaTheme="minorEastAsia"/>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Lines="0" w:afterLines="0"/>
        <w:ind w:left="0" w:leftChars="0" w:firstLine="0" w:firstLineChars="0"/>
        <w:textAlignment w:val="baseline"/>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2、技术指标的确立</w:t>
      </w:r>
      <w:r>
        <w:rPr>
          <w:rFonts w:hint="eastAsia" w:asciiTheme="minorEastAsia" w:hAnsiTheme="minorEastAsia" w:eastAsiaTheme="minorEastAsia"/>
          <w:sz w:val="28"/>
          <w:szCs w:val="28"/>
          <w:lang w:eastAsia="zh-CN"/>
        </w:rPr>
        <w:t>的依据</w:t>
      </w:r>
    </w:p>
    <w:p>
      <w:pPr>
        <w:spacing w:beforeLines="0" w:afterLines="0"/>
        <w:ind w:firstLine="480"/>
        <w:rPr>
          <w:rFonts w:asciiTheme="minorEastAsia" w:hAnsiTheme="minorEastAsia" w:eastAsiaTheme="minorEastAsia"/>
          <w:sz w:val="28"/>
          <w:szCs w:val="28"/>
        </w:rPr>
      </w:pPr>
      <w:r>
        <w:rPr>
          <w:rFonts w:hint="eastAsia" w:asciiTheme="minorEastAsia" w:hAnsiTheme="minorEastAsia" w:eastAsiaTheme="minorEastAsia"/>
          <w:sz w:val="28"/>
          <w:szCs w:val="28"/>
        </w:rPr>
        <w:t>标准结构、格式和表达方式按照GB/T 1.1-2020《标准化工作导则 第1部分 ：标准化文件的结构和起草规则》的规定进行编写，使标准规范化。</w:t>
      </w:r>
    </w:p>
    <w:p>
      <w:pPr>
        <w:spacing w:beforeLines="0" w:afterLines="0"/>
        <w:ind w:firstLine="480"/>
        <w:rPr>
          <w:rFonts w:asciiTheme="minorEastAsia" w:hAnsiTheme="minorEastAsia" w:eastAsiaTheme="minorEastAsia"/>
          <w:sz w:val="28"/>
          <w:szCs w:val="28"/>
        </w:rPr>
      </w:pPr>
      <w:r>
        <w:rPr>
          <w:rFonts w:asciiTheme="minorEastAsia" w:hAnsiTheme="minorEastAsia" w:eastAsiaTheme="minorEastAsia"/>
          <w:sz w:val="28"/>
          <w:szCs w:val="28"/>
        </w:rPr>
        <w:t>本标准在前期开展了大量的</w:t>
      </w:r>
      <w:r>
        <w:rPr>
          <w:rFonts w:hint="eastAsia" w:asciiTheme="minorEastAsia" w:hAnsiTheme="minorEastAsia" w:eastAsiaTheme="minorEastAsia"/>
          <w:sz w:val="28"/>
          <w:szCs w:val="28"/>
        </w:rPr>
        <w:t>场车</w:t>
      </w:r>
      <w:r>
        <w:rPr>
          <w:rFonts w:asciiTheme="minorEastAsia" w:hAnsiTheme="minorEastAsia" w:eastAsiaTheme="minorEastAsia"/>
          <w:sz w:val="28"/>
          <w:szCs w:val="28"/>
        </w:rPr>
        <w:t>监管技术的应用研究</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走访调研了特种设备使用单位、特种设备生产单位、特种设备安全监督管理部门等单位，</w:t>
      </w:r>
      <w:r>
        <w:rPr>
          <w:rFonts w:hint="eastAsia" w:asciiTheme="minorEastAsia" w:hAnsiTheme="minorEastAsia" w:eastAsiaTheme="minorEastAsia"/>
          <w:sz w:val="28"/>
          <w:szCs w:val="28"/>
        </w:rPr>
        <w:t>通过与特种设备生产单位和使用单位代表座谈，与特种设备安全监督管理部门沟通，了解用户诉求、监管要求，掌握场车在安全监察、管理、使用和流动过程中的不足和需要完善的地方。做好特种设备使用过程中全方位安全监管，使场（厂）内专用机动车辆智慧安全监管系统更加的规范，为标准的编写提供事实依据。同时可以及时制止特种设备使用单位（人员）违法违规作业的行为，有效防范叉车事故的发生，减少人员伤亡事故数量。在特种设备信息化管理系统的基础上，提出更加科学高效的管理方法，利用信息化手段加强场车监管，能够有效防范化解叉车事故风险，不断提升特种设备安全运营能力和水平，确保我省特种设备安全运行。标准研究成果不仅有助于我省场车安全技术水平的提高，也能为政府管理和决策部门提供咨询服务。可以及时制止特种设备使用单位（人员）违法违规作业的行为，有效防范场车事故的发生，减少人员伤亡事故数量。具有明显的社会效益，标准研究的经济效益明显。</w:t>
      </w:r>
    </w:p>
    <w:p>
      <w:pPr>
        <w:spacing w:beforeLines="0" w:afterLines="0"/>
        <w:ind w:firstLine="480"/>
        <w:rPr>
          <w:rFonts w:asciiTheme="minorEastAsia" w:hAnsiTheme="minorEastAsia" w:eastAsiaTheme="minorEastAsia"/>
          <w:sz w:val="28"/>
          <w:szCs w:val="28"/>
        </w:rPr>
      </w:pPr>
      <w:r>
        <w:rPr>
          <w:rFonts w:hint="eastAsia" w:asciiTheme="minorEastAsia" w:hAnsiTheme="minorEastAsia" w:eastAsiaTheme="minorEastAsia"/>
          <w:sz w:val="28"/>
          <w:szCs w:val="28"/>
        </w:rPr>
        <w:t>本标准在编制过程中，起草组与场车制造单位、场车租赁维保单位、场车使用单位、昆山市市场监管局千灯分局、陆家分局联合在现场对安装了物联设备的场车的应用系统进行了分析验证。标准中的基本要求均能满足场车智慧安全</w:t>
      </w:r>
      <w:r>
        <w:rPr>
          <w:rFonts w:hint="eastAsia" w:asciiTheme="minorEastAsia" w:hAnsiTheme="minorEastAsia" w:eastAsiaTheme="minorEastAsia"/>
          <w:sz w:val="28"/>
          <w:szCs w:val="28"/>
          <w:lang w:val="en-US" w:eastAsia="zh-CN"/>
        </w:rPr>
        <w:t>监管</w:t>
      </w:r>
      <w:r>
        <w:rPr>
          <w:rFonts w:hint="eastAsia" w:asciiTheme="minorEastAsia" w:hAnsiTheme="minorEastAsia" w:eastAsiaTheme="minorEastAsia"/>
          <w:sz w:val="28"/>
          <w:szCs w:val="28"/>
        </w:rPr>
        <w:t>的要求。</w:t>
      </w:r>
    </w:p>
    <w:p>
      <w:pPr>
        <w:pStyle w:val="5"/>
        <w:bidi w:val="0"/>
        <w:spacing w:after="156" w:afterLines="0"/>
        <w:outlineLvl w:val="0"/>
        <w:rPr>
          <w:rFonts w:hint="eastAsia"/>
        </w:rPr>
      </w:pPr>
      <w:bookmarkStart w:id="4" w:name="_Toc1359"/>
      <w:r>
        <w:rPr>
          <w:rFonts w:hint="eastAsia"/>
        </w:rPr>
        <w:t>五、重大分歧意见的处理过程和依据</w:t>
      </w:r>
      <w:bookmarkEnd w:id="4"/>
    </w:p>
    <w:p>
      <w:pPr>
        <w:spacing w:beforeLines="0" w:afterLines="0"/>
        <w:ind w:firstLine="48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在本标准的制定过程中，起草组面临了若干重大分歧意见，主要涉及以下方面：</w:t>
      </w:r>
    </w:p>
    <w:p>
      <w:pPr>
        <w:spacing w:beforeLines="0" w:afterLines="0"/>
        <w:ind w:firstLine="48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（1）物联设备数据存储要求的分歧</w:t>
      </w:r>
    </w:p>
    <w:p>
      <w:pPr>
        <w:spacing w:beforeLines="0" w:afterLines="0"/>
        <w:ind w:firstLine="48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部分意见主张物联设备的数据存储应采用本地存储方式，以确保数据的安全性和可靠性。另一部分意见则建议采用云端存储，以便于数据的集中管理和分析。经过审慎考量和权衡，最终决定采用本地存储与云端存储相结合的方式，以兼顾数据安全和管理效率。</w:t>
      </w:r>
    </w:p>
    <w:p>
      <w:pPr>
        <w:spacing w:beforeLines="0" w:afterLines="0"/>
        <w:ind w:firstLine="48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（2）场车应用系统合法性验证的分歧</w:t>
      </w:r>
    </w:p>
    <w:p>
      <w:pPr>
        <w:spacing w:beforeLines="0" w:afterLines="0"/>
        <w:ind w:firstLine="48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有意见提出，场车应用系统的合法性验证应仅限于系统内部，而无需与外部系统进行交互。另一些意见则认为，合法性验证应涵盖与外部系统的交互，以确保场车应用系统的全面性和准确性。经过讨论，起草组决定采纳后者意见，要求场车应用系统在进行合法性验证时，必须与外部系统进行必要的交互。</w:t>
      </w:r>
    </w:p>
    <w:p>
      <w:pPr>
        <w:spacing w:beforeLines="0" w:afterLines="0"/>
        <w:ind w:firstLine="48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（3）数据交互标准的分歧</w:t>
      </w:r>
    </w:p>
    <w:p>
      <w:pPr>
        <w:spacing w:beforeLines="0" w:afterLines="0"/>
        <w:ind w:firstLine="48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在数据交互标准方面，存在两种不同的意见。一种意见认为，应采用统一的数据交互标准，以简化数据交互过程；另一种意见则认为，应根据不同的应用场景制定不同的数据交互标准。经过充分讨论，起草组决定采用统一的数据交互标准，以确保数据交互的高效性和一致性。</w:t>
      </w:r>
    </w:p>
    <w:p>
      <w:pPr>
        <w:spacing w:beforeLines="0" w:afterLines="0"/>
        <w:ind w:firstLine="48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（4）评价验证方法的分歧</w:t>
      </w:r>
    </w:p>
    <w:p>
      <w:pPr>
        <w:spacing w:beforeLines="0" w:afterLines="0"/>
        <w:ind w:firstLine="48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在评价验证方法方面，有意见认为，应由第三方机构进行评价验证，以保证评价结果的客观性和公正性。而另一些意见则认为，评价验证应由场车智慧管理应用系统开发商自行完成。经过讨论，起草组决定采用第三方评价验证方法，以确保评价验证的客观性和公正性。</w:t>
      </w:r>
    </w:p>
    <w:p>
      <w:pPr>
        <w:spacing w:beforeLines="0" w:afterLines="0"/>
        <w:ind w:firstLine="48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在处理这些重大分歧意见时，起草组始终坚持科学、公正、公开的原则，充分听取各方意见，通过深入分析和讨论，最终达成共识。对于未采纳的意见，起草组也进行了详细记录，并在标准中予以说明。通过这一过程，确保了标准的科学性和实用性，为我省场车智慧安全监管系统的建设提供了坚实的技术支撑。</w:t>
      </w:r>
    </w:p>
    <w:p>
      <w:pPr>
        <w:pStyle w:val="5"/>
        <w:bidi w:val="0"/>
        <w:outlineLvl w:val="0"/>
      </w:pPr>
      <w:bookmarkStart w:id="5" w:name="_Toc3550"/>
      <w:r>
        <w:rPr>
          <w:rFonts w:hint="eastAsia"/>
          <w:lang w:eastAsia="zh-CN"/>
        </w:rPr>
        <w:t>六、</w:t>
      </w:r>
      <w:r>
        <w:rPr>
          <w:rFonts w:hint="eastAsia"/>
        </w:rPr>
        <w:t>与相关法律法规和国家标准的关系</w:t>
      </w:r>
      <w:bookmarkEnd w:id="5"/>
      <w:bookmarkStart w:id="6" w:name="_Toc1965138558"/>
    </w:p>
    <w:p>
      <w:pPr>
        <w:spacing w:beforeLines="0" w:afterLines="0"/>
        <w:ind w:firstLine="420" w:firstLineChars="15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 xml:space="preserve"> 本标准</w:t>
      </w:r>
      <w:r>
        <w:rPr>
          <w:rFonts w:hint="eastAsia" w:asciiTheme="minorEastAsia" w:hAnsiTheme="minorEastAsia" w:eastAsiaTheme="minorEastAsia"/>
          <w:sz w:val="28"/>
          <w:szCs w:val="28"/>
        </w:rPr>
        <w:t>在制定过程中充分贯彻了</w:t>
      </w:r>
      <w:r>
        <w:rPr>
          <w:rFonts w:asciiTheme="minorEastAsia" w:hAnsiTheme="minorEastAsia" w:eastAsiaTheme="minorEastAsia"/>
          <w:sz w:val="28"/>
          <w:szCs w:val="28"/>
        </w:rPr>
        <w:t>TSG81-2022</w:t>
      </w:r>
      <w:r>
        <w:rPr>
          <w:rFonts w:hint="eastAsia" w:asciiTheme="minorEastAsia" w:hAnsiTheme="minorEastAsia" w:eastAsiaTheme="minorEastAsia"/>
          <w:sz w:val="28"/>
          <w:szCs w:val="28"/>
        </w:rPr>
        <w:t>《场（厂）内专用机动车辆安全技术规程》</w:t>
      </w:r>
      <w:r>
        <w:rPr>
          <w:rFonts w:hint="eastAsia" w:asciiTheme="minorEastAsia" w:hAnsiTheme="minorEastAsia" w:eastAsiaTheme="minorEastAsia"/>
          <w:sz w:val="28"/>
          <w:szCs w:val="28"/>
          <w:lang w:val="en-US" w:eastAsia="zh-CN"/>
        </w:rPr>
        <w:t>和TSG Z6001—2019 《特种设备作业人员考核规则》</w:t>
      </w:r>
      <w:r>
        <w:rPr>
          <w:rFonts w:hint="eastAsia" w:asciiTheme="minorEastAsia" w:hAnsiTheme="minorEastAsia" w:eastAsiaTheme="minorEastAsia"/>
          <w:sz w:val="28"/>
          <w:szCs w:val="28"/>
          <w:lang w:eastAsia="zh-CN"/>
        </w:rPr>
        <w:t>的核心要求，针对场（厂）内专用机动车辆（场车）的智慧安全监管进行了详细规定。通过明确系统架构、物联设备、应用系统、大数据平台、数据交互、数据安全及评价验证方法等方面的标准，有效提升了场车安全监管的智能化水平，进一步强化了特种设备安全监督管理部门、生产单位、使用单位及系统开发商的职责权限，确保了</w:t>
      </w:r>
      <w:r>
        <w:rPr>
          <w:rFonts w:hint="eastAsia" w:asciiTheme="minorEastAsia" w:hAnsiTheme="minorEastAsia" w:eastAsiaTheme="minorEastAsia"/>
          <w:sz w:val="28"/>
          <w:szCs w:val="28"/>
          <w:lang w:val="en-US" w:eastAsia="zh-CN"/>
        </w:rPr>
        <w:t>规范</w:t>
      </w:r>
      <w:r>
        <w:rPr>
          <w:rFonts w:hint="eastAsia" w:asciiTheme="minorEastAsia" w:hAnsiTheme="minorEastAsia" w:eastAsiaTheme="minorEastAsia"/>
          <w:sz w:val="28"/>
          <w:szCs w:val="28"/>
          <w:lang w:eastAsia="zh-CN"/>
        </w:rPr>
        <w:t>条款的落地实施。</w:t>
      </w:r>
    </w:p>
    <w:p>
      <w:pPr>
        <w:spacing w:beforeLines="0" w:afterLines="0"/>
        <w:ind w:firstLine="420" w:firstLineChars="15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 xml:space="preserve"> 在数据</w:t>
      </w:r>
      <w:r>
        <w:rPr>
          <w:rFonts w:hint="eastAsia" w:asciiTheme="minorEastAsia" w:hAnsiTheme="minorEastAsia" w:eastAsiaTheme="minorEastAsia"/>
          <w:sz w:val="28"/>
          <w:szCs w:val="28"/>
          <w:lang w:val="en-US" w:eastAsia="zh-CN"/>
        </w:rPr>
        <w:t>交互、数据</w:t>
      </w:r>
      <w:r>
        <w:rPr>
          <w:rFonts w:hint="eastAsia" w:asciiTheme="minorEastAsia" w:hAnsiTheme="minorEastAsia" w:eastAsiaTheme="minorEastAsia"/>
          <w:sz w:val="28"/>
          <w:szCs w:val="28"/>
          <w:lang w:eastAsia="zh-CN"/>
        </w:rPr>
        <w:t>安全方面，本标准严格遵循《中华人民共和国数据安全法》的相关规定，</w:t>
      </w:r>
      <w:r>
        <w:rPr>
          <w:rFonts w:hint="eastAsia" w:asciiTheme="minorEastAsia" w:hAnsiTheme="minorEastAsia" w:eastAsiaTheme="minorEastAsia"/>
          <w:sz w:val="28"/>
          <w:szCs w:val="28"/>
          <w:lang w:val="en-US" w:eastAsia="zh-CN"/>
        </w:rPr>
        <w:t>以GB/T 15127-2008《信息技术 系统间远程通信和信息交换  双扭线多点互联》等标准的要求，对</w:t>
      </w:r>
      <w:r>
        <w:rPr>
          <w:rFonts w:hint="eastAsia" w:asciiTheme="minorEastAsia" w:hAnsiTheme="minorEastAsia" w:eastAsiaTheme="minorEastAsia"/>
          <w:sz w:val="28"/>
          <w:szCs w:val="28"/>
          <w:lang w:eastAsia="zh-CN"/>
        </w:rPr>
        <w:t>场车所有者对系统产生的数据进行风险识别和风险管控，确保数据在采集、传输、存储、使用等全生命周期中的安全可控。通过制定详细的数据交互标准和协议内容，明确了数据上报的格式规范与各项内容定义，为数据安全提供了坚实的制度保障。</w:t>
      </w:r>
    </w:p>
    <w:p>
      <w:pPr>
        <w:spacing w:beforeLines="0" w:afterLines="0"/>
        <w:ind w:firstLine="420" w:firstLineChars="15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本标准在结构、格式和表达方式上严格按照GB/T 1.1-2020《标准化工作导则 第1部分 ：标准化文件的结构和起草规则》进行编写，确保了标准的规范化、统一化和易读性。这不仅提高了标准的编写质量，也便于国内外相关方对标准的理解和应用。</w:t>
      </w:r>
    </w:p>
    <w:p>
      <w:pPr>
        <w:spacing w:beforeLines="0" w:afterLines="0"/>
        <w:ind w:firstLine="420" w:firstLineChars="15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 xml:space="preserve"> 本标准纳入了与机械安全相关的多个国家标准，如《机械安全 设计通则 风险评估与风险减小》、《机械安全 急停功能设计原则》等。这些标准的引入，为场车智慧安全监管系统的提供了全面的安全指导，确保了系统在各环节均能满足机械安全的基本要求。</w:t>
      </w:r>
    </w:p>
    <w:p>
      <w:pPr>
        <w:spacing w:beforeLines="0" w:afterLines="0"/>
        <w:ind w:firstLine="420" w:firstLineChars="15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 xml:space="preserve"> 针对工业车辆安全监控管理系统的相关文件，本标准在内容上进行了必要的补充和完善。特别是在物联设备、场车应用系统、大数据平台及数据交互等方面，提出了更为详细和具体的技术要求，为工业车辆智慧安全监管系统的建设和运行提供了更为全面的指导。</w:t>
      </w:r>
    </w:p>
    <w:p>
      <w:pPr>
        <w:spacing w:beforeLines="0" w:afterLines="0"/>
        <w:ind w:firstLine="420" w:firstLineChars="150"/>
        <w:rPr>
          <w:rFonts w:asciiTheme="minorEastAsia" w:hAnsiTheme="minorEastAsia" w:eastAsiaTheme="minorEastAsia"/>
          <w:szCs w:val="24"/>
        </w:rPr>
      </w:pPr>
      <w:r>
        <w:rPr>
          <w:rFonts w:hint="eastAsia" w:asciiTheme="minorEastAsia" w:hAnsiTheme="minorEastAsia" w:eastAsiaTheme="minorEastAsia"/>
          <w:sz w:val="28"/>
          <w:szCs w:val="28"/>
        </w:rPr>
        <w:t>标准的制订完全符合现行法律、法规、政策及相关标准的要求。</w:t>
      </w:r>
    </w:p>
    <w:p>
      <w:pPr>
        <w:pStyle w:val="5"/>
        <w:bidi w:val="0"/>
        <w:outlineLvl w:val="0"/>
      </w:pPr>
      <w:bookmarkStart w:id="7" w:name="_Toc21369"/>
      <w:r>
        <w:rPr>
          <w:rFonts w:hint="eastAsia"/>
          <w:lang w:eastAsia="zh-CN"/>
        </w:rPr>
        <w:t>七</w:t>
      </w:r>
      <w:r>
        <w:rPr>
          <w:rFonts w:hint="eastAsia"/>
        </w:rPr>
        <w:t>、</w:t>
      </w:r>
      <w:r>
        <w:rPr>
          <w:rFonts w:hint="eastAsia"/>
          <w:lang w:eastAsia="zh-CN"/>
        </w:rPr>
        <w:t>推广</w:t>
      </w:r>
      <w:r>
        <w:rPr>
          <w:rFonts w:hint="eastAsia"/>
        </w:rPr>
        <w:t>实施建议</w:t>
      </w:r>
      <w:bookmarkEnd w:id="6"/>
      <w:bookmarkEnd w:id="7"/>
    </w:p>
    <w:p>
      <w:pPr>
        <w:spacing w:beforeLines="0" w:afterLines="0"/>
        <w:ind w:firstLine="48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本标准适用于江苏省场（厂）内专用机动车辆智慧安全监管系统的建设和运行。本</w:t>
      </w:r>
      <w:r>
        <w:rPr>
          <w:rFonts w:hint="eastAsia" w:asciiTheme="minorEastAsia" w:hAnsiTheme="minorEastAsia" w:eastAsiaTheme="minorEastAsia"/>
          <w:sz w:val="28"/>
          <w:szCs w:val="28"/>
          <w:lang w:val="en-US" w:eastAsia="zh-CN"/>
        </w:rPr>
        <w:t>文件不</w:t>
      </w:r>
      <w:r>
        <w:rPr>
          <w:rFonts w:hint="eastAsia" w:asciiTheme="minorEastAsia" w:hAnsiTheme="minorEastAsia" w:eastAsiaTheme="minorEastAsia"/>
          <w:sz w:val="28"/>
          <w:szCs w:val="28"/>
        </w:rPr>
        <w:t>适用于</w:t>
      </w:r>
      <w:r>
        <w:rPr>
          <w:rFonts w:hint="eastAsia" w:asciiTheme="minorEastAsia" w:hAnsiTheme="minorEastAsia" w:eastAsiaTheme="minorEastAsia"/>
          <w:sz w:val="28"/>
          <w:szCs w:val="28"/>
          <w:lang w:val="en-US" w:eastAsia="zh-CN"/>
        </w:rPr>
        <w:t>具有防爆功能的场（厂）内专用机动车辆。</w:t>
      </w:r>
    </w:p>
    <w:p>
      <w:pPr>
        <w:keepNext w:val="0"/>
        <w:keepLines w:val="0"/>
        <w:pageBreakBefore w:val="0"/>
        <w:widowControl/>
        <w:kinsoku w:val="0"/>
        <w:wordWrap/>
        <w:overflowPunct/>
        <w:topLinePunct w:val="0"/>
        <w:autoSpaceDE w:val="0"/>
        <w:autoSpaceDN w:val="0"/>
        <w:bidi w:val="0"/>
        <w:adjustRightInd w:val="0"/>
        <w:snapToGrid w:val="0"/>
        <w:spacing w:beforeLines="0" w:afterLines="0"/>
        <w:ind w:firstLine="480"/>
        <w:textAlignment w:val="baseline"/>
        <w:rPr>
          <w:rFonts w:asciiTheme="minorEastAsia" w:hAnsiTheme="minorEastAsia" w:eastAsiaTheme="minorEastAsia"/>
          <w:sz w:val="28"/>
          <w:szCs w:val="28"/>
        </w:rPr>
      </w:pPr>
      <w:r>
        <w:rPr>
          <w:rFonts w:hint="eastAsia" w:asciiTheme="minorEastAsia" w:hAnsiTheme="minorEastAsia" w:eastAsiaTheme="minorEastAsia"/>
          <w:sz w:val="28"/>
          <w:szCs w:val="28"/>
        </w:rPr>
        <w:t>本标准的制定，可以及时制止特种设备使用单位（人员）违法违规作业的行为，有效防范叉车事故的发生，减少人员伤亡事故数量。</w:t>
      </w:r>
    </w:p>
    <w:p>
      <w:pPr>
        <w:keepNext w:val="0"/>
        <w:keepLines w:val="0"/>
        <w:pageBreakBefore w:val="0"/>
        <w:widowControl/>
        <w:kinsoku w:val="0"/>
        <w:wordWrap/>
        <w:overflowPunct/>
        <w:topLinePunct w:val="0"/>
        <w:autoSpaceDE w:val="0"/>
        <w:autoSpaceDN w:val="0"/>
        <w:bidi w:val="0"/>
        <w:adjustRightInd w:val="0"/>
        <w:snapToGrid w:val="0"/>
        <w:spacing w:beforeLines="0" w:afterLines="0"/>
        <w:ind w:firstLine="560" w:firstLineChars="200"/>
        <w:textAlignment w:val="baseline"/>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建议将</w:t>
      </w:r>
      <w:r>
        <w:rPr>
          <w:rFonts w:asciiTheme="minorEastAsia" w:hAnsiTheme="minorEastAsia" w:eastAsiaTheme="minorEastAsia"/>
          <w:sz w:val="28"/>
          <w:szCs w:val="28"/>
        </w:rPr>
        <w:t>本</w:t>
      </w:r>
      <w:r>
        <w:rPr>
          <w:rFonts w:hint="eastAsia" w:asciiTheme="minorEastAsia" w:hAnsiTheme="minorEastAsia" w:eastAsiaTheme="minorEastAsia"/>
          <w:sz w:val="28"/>
          <w:szCs w:val="28"/>
        </w:rPr>
        <w:t>标准作为推荐性标准，以规范各场车智慧管理应用系统开发商的开发行为，统一管理满足监督管理的要求，压降特种设备事故。建议相关主管部门将本标准作为场车监督管理的依据。建议标准实施后组织标准宣讲，以使行业</w:t>
      </w:r>
      <w:r>
        <w:rPr>
          <w:rFonts w:asciiTheme="minorEastAsia" w:hAnsiTheme="minorEastAsia" w:eastAsiaTheme="minorEastAsia"/>
          <w:sz w:val="28"/>
          <w:szCs w:val="28"/>
        </w:rPr>
        <w:t>、</w:t>
      </w:r>
      <w:r>
        <w:rPr>
          <w:rFonts w:hint="eastAsia" w:asciiTheme="minorEastAsia" w:hAnsiTheme="minorEastAsia" w:eastAsiaTheme="minorEastAsia"/>
          <w:sz w:val="28"/>
          <w:szCs w:val="28"/>
        </w:rPr>
        <w:t>企业了解标准内容</w:t>
      </w:r>
      <w:bookmarkStart w:id="9" w:name="_GoBack"/>
      <w:bookmarkEnd w:id="9"/>
      <w:r>
        <w:rPr>
          <w:rFonts w:hint="eastAsia" w:asciiTheme="minorEastAsia" w:hAnsiTheme="minorEastAsia" w:eastAsiaTheme="minorEastAsia"/>
          <w:sz w:val="28"/>
          <w:szCs w:val="28"/>
        </w:rPr>
        <w:t>，促进标准的顺利实施。</w:t>
      </w:r>
    </w:p>
    <w:p>
      <w:pPr>
        <w:pStyle w:val="5"/>
        <w:numPr>
          <w:ilvl w:val="0"/>
          <w:numId w:val="6"/>
        </w:numPr>
        <w:bidi w:val="0"/>
        <w:outlineLvl w:val="0"/>
        <w:rPr>
          <w:rFonts w:hint="eastAsia"/>
          <w:lang w:eastAsia="zh-CN"/>
        </w:rPr>
      </w:pPr>
      <w:bookmarkStart w:id="8" w:name="_Toc12607"/>
      <w:r>
        <w:rPr>
          <w:rFonts w:hint="eastAsia"/>
          <w:lang w:eastAsia="zh-CN"/>
        </w:rPr>
        <w:t>起草单位和起草人员信息及分工</w:t>
      </w:r>
      <w:bookmarkEnd w:id="8"/>
    </w:p>
    <w:p>
      <w:pPr>
        <w:keepNext w:val="0"/>
        <w:keepLines w:val="0"/>
        <w:pageBreakBefore w:val="0"/>
        <w:widowControl/>
        <w:kinsoku w:val="0"/>
        <w:wordWrap/>
        <w:overflowPunct/>
        <w:topLinePunct w:val="0"/>
        <w:autoSpaceDE w:val="0"/>
        <w:autoSpaceDN w:val="0"/>
        <w:bidi w:val="0"/>
        <w:adjustRightInd w:val="0"/>
        <w:snapToGrid w:val="0"/>
        <w:spacing w:beforeLines="0" w:afterLines="0"/>
        <w:ind w:firstLine="560" w:firstLineChars="200"/>
        <w:textAlignment w:val="baseline"/>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本标准起草单位：江苏省特种设备安全监督检验研究院、中博信息技术研究院有限公司、南京市特种设备安全监督检验研究院。</w:t>
      </w:r>
    </w:p>
    <w:p>
      <w:pPr>
        <w:keepNext w:val="0"/>
        <w:keepLines w:val="0"/>
        <w:pageBreakBefore w:val="0"/>
        <w:widowControl/>
        <w:kinsoku w:val="0"/>
        <w:wordWrap/>
        <w:overflowPunct/>
        <w:topLinePunct w:val="0"/>
        <w:autoSpaceDE w:val="0"/>
        <w:autoSpaceDN w:val="0"/>
        <w:bidi w:val="0"/>
        <w:adjustRightInd w:val="0"/>
        <w:snapToGrid w:val="0"/>
        <w:spacing w:beforeLines="0" w:afterLines="0"/>
        <w:ind w:firstLine="560" w:firstLineChars="200"/>
        <w:textAlignment w:val="baseline"/>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起草人员：王毅、王月新、赵彬、李向东、顾旭波、甘晶、张新东、孙民、徐峰、涂春磊、周超、张燕超、陈序、荚佳、李明、邬宇、孙健、王宏、李强、王小燕、卢德俊、周洲、刘宗斌、施晓江、赵杰、高蔚、田小丹、钱明铨、陈洪良、顾浩、陈诚、于栋、赵梓为、张金才、尹浩、唐潇璐。</w:t>
      </w:r>
    </w:p>
    <w:p>
      <w:pPr>
        <w:pStyle w:val="20"/>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cs="Arial" w:asciiTheme="minorEastAsia" w:hAnsiTheme="minorEastAsia" w:eastAsiaTheme="minorEastAsia"/>
          <w:snapToGrid w:val="0"/>
          <w:color w:val="000000"/>
          <w:sz w:val="28"/>
          <w:szCs w:val="28"/>
          <w:lang w:val="en-US" w:eastAsia="zh-CN" w:bidi="ar-SA"/>
        </w:rPr>
      </w:pPr>
      <w:r>
        <w:rPr>
          <w:rFonts w:hint="eastAsia" w:cs="Arial" w:asciiTheme="minorEastAsia" w:hAnsiTheme="minorEastAsia" w:eastAsiaTheme="minorEastAsia"/>
          <w:snapToGrid w:val="0"/>
          <w:color w:val="000000"/>
          <w:sz w:val="28"/>
          <w:szCs w:val="28"/>
          <w:lang w:val="en-US" w:eastAsia="zh-CN" w:bidi="ar-SA"/>
        </w:rPr>
        <w:t>主要起草人员分工：</w:t>
      </w:r>
    </w:p>
    <w:tbl>
      <w:tblPr>
        <w:tblStyle w:val="14"/>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0"/>
        <w:gridCol w:w="4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390" w:type="dxa"/>
          </w:tcPr>
          <w:p>
            <w:pPr>
              <w:pStyle w:val="20"/>
              <w:widowControl w:val="0"/>
              <w:jc w:val="center"/>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任务</w:t>
            </w:r>
          </w:p>
        </w:tc>
        <w:tc>
          <w:tcPr>
            <w:tcW w:w="4390" w:type="dxa"/>
          </w:tcPr>
          <w:p>
            <w:pPr>
              <w:pStyle w:val="20"/>
              <w:widowControl w:val="0"/>
              <w:jc w:val="center"/>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负责人员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390" w:type="dxa"/>
          </w:tcPr>
          <w:p>
            <w:pPr>
              <w:pStyle w:val="20"/>
              <w:widowControl w:val="0"/>
              <w:ind w:left="0" w:leftChars="0" w:firstLine="0" w:firstLineChars="0"/>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召开启动会，讨论确定标准条款目录</w:t>
            </w:r>
          </w:p>
        </w:tc>
        <w:tc>
          <w:tcPr>
            <w:tcW w:w="4390" w:type="dxa"/>
          </w:tcPr>
          <w:p>
            <w:pPr>
              <w:pStyle w:val="20"/>
              <w:widowControl w:val="0"/>
              <w:ind w:left="0" w:leftChars="0" w:firstLine="0" w:firstLineChars="0"/>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全体成员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390" w:type="dxa"/>
          </w:tcPr>
          <w:p>
            <w:pPr>
              <w:pStyle w:val="20"/>
              <w:widowControl w:val="0"/>
              <w:ind w:left="0" w:leftChars="0" w:firstLine="0" w:firstLineChars="0"/>
              <w:rPr>
                <w:rFonts w:hint="default"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1 范围</w:t>
            </w:r>
          </w:p>
        </w:tc>
        <w:tc>
          <w:tcPr>
            <w:tcW w:w="4390" w:type="dxa"/>
          </w:tcPr>
          <w:p>
            <w:pPr>
              <w:pStyle w:val="20"/>
              <w:widowControl w:val="0"/>
              <w:ind w:left="0" w:leftChars="0" w:firstLine="0" w:firstLineChars="0"/>
              <w:rPr>
                <w:rFonts w:hint="default"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王毅、王月新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4390" w:type="dxa"/>
          </w:tcPr>
          <w:p>
            <w:pPr>
              <w:pStyle w:val="20"/>
              <w:widowControl w:val="0"/>
              <w:ind w:left="0" w:leftChars="0" w:firstLine="0" w:firstLineChars="0"/>
              <w:rPr>
                <w:rFonts w:hint="default"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2 规范性引用文件</w:t>
            </w:r>
          </w:p>
        </w:tc>
        <w:tc>
          <w:tcPr>
            <w:tcW w:w="4390" w:type="dxa"/>
          </w:tcPr>
          <w:p>
            <w:pPr>
              <w:widowControl w:val="0"/>
              <w:ind w:left="0" w:leftChars="0" w:firstLine="0" w:firstLineChars="0"/>
              <w:jc w:val="both"/>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王毅、</w:t>
            </w:r>
            <w:r>
              <w:rPr>
                <w:rFonts w:hint="eastAsia" w:cs="Arial" w:asciiTheme="minorEastAsia" w:hAnsiTheme="minorEastAsia" w:eastAsiaTheme="minorEastAsia"/>
                <w:snapToGrid w:val="0"/>
                <w:color w:val="000000"/>
                <w:sz w:val="28"/>
                <w:szCs w:val="28"/>
                <w:lang w:val="en-US" w:eastAsia="zh-CN" w:bidi="ar-SA"/>
              </w:rPr>
              <w:t>李向东、顾旭波、甘晶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4390" w:type="dxa"/>
          </w:tcPr>
          <w:p>
            <w:pPr>
              <w:pStyle w:val="20"/>
              <w:widowControl w:val="0"/>
              <w:ind w:left="0" w:leftChars="0" w:firstLine="0" w:firstLineChars="0"/>
              <w:rPr>
                <w:rFonts w:hint="default"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3 术语和定义</w:t>
            </w:r>
          </w:p>
        </w:tc>
        <w:tc>
          <w:tcPr>
            <w:tcW w:w="4390" w:type="dxa"/>
          </w:tcPr>
          <w:p>
            <w:pPr>
              <w:widowControl w:val="0"/>
              <w:ind w:left="0" w:leftChars="0" w:firstLine="0" w:firstLineChars="0"/>
              <w:jc w:val="both"/>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王毅、</w:t>
            </w:r>
            <w:r>
              <w:rPr>
                <w:rFonts w:hint="eastAsia" w:cs="Arial" w:asciiTheme="minorEastAsia" w:hAnsiTheme="minorEastAsia" w:eastAsiaTheme="minorEastAsia"/>
                <w:snapToGrid w:val="0"/>
                <w:color w:val="000000"/>
                <w:sz w:val="28"/>
                <w:szCs w:val="28"/>
                <w:lang w:val="en-US" w:eastAsia="zh-CN" w:bidi="ar-SA"/>
              </w:rPr>
              <w:t>张新东、孙民、徐峰、涂春磊、周超、张燕超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4390" w:type="dxa"/>
          </w:tcPr>
          <w:p>
            <w:pPr>
              <w:pStyle w:val="20"/>
              <w:widowControl w:val="0"/>
              <w:ind w:left="0" w:leftChars="0" w:firstLine="0" w:firstLineChars="0"/>
              <w:rPr>
                <w:rFonts w:hint="default"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4 整体架构及建设要求</w:t>
            </w:r>
          </w:p>
        </w:tc>
        <w:tc>
          <w:tcPr>
            <w:tcW w:w="4390" w:type="dxa"/>
          </w:tcPr>
          <w:p>
            <w:pPr>
              <w:widowControl w:val="0"/>
              <w:ind w:left="0" w:leftChars="0" w:firstLine="0" w:firstLineChars="0"/>
              <w:jc w:val="both"/>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王毅、赵彬、</w:t>
            </w:r>
            <w:r>
              <w:rPr>
                <w:rFonts w:hint="eastAsia" w:cs="Arial" w:asciiTheme="minorEastAsia" w:hAnsiTheme="minorEastAsia" w:eastAsiaTheme="minorEastAsia"/>
                <w:snapToGrid w:val="0"/>
                <w:color w:val="000000"/>
                <w:sz w:val="28"/>
                <w:szCs w:val="28"/>
                <w:lang w:val="en-US" w:eastAsia="zh-CN" w:bidi="ar-SA"/>
              </w:rPr>
              <w:t>陈序、荚佳、李明、邬宇、孙健、王宏、李强、王小燕、卢德俊、周洲、刘宗斌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4390" w:type="dxa"/>
          </w:tcPr>
          <w:p>
            <w:pPr>
              <w:pStyle w:val="20"/>
              <w:widowControl w:val="0"/>
              <w:ind w:left="0" w:leftChars="0" w:firstLine="0" w:firstLineChars="0"/>
              <w:jc w:val="both"/>
              <w:rPr>
                <w:rFonts w:hint="default"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5 物联设备</w:t>
            </w:r>
          </w:p>
        </w:tc>
        <w:tc>
          <w:tcPr>
            <w:tcW w:w="4390" w:type="dxa"/>
          </w:tcPr>
          <w:p>
            <w:pPr>
              <w:widowControl w:val="0"/>
              <w:ind w:left="0" w:leftChars="0" w:firstLine="0" w:firstLineChars="0"/>
              <w:jc w:val="both"/>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王毅、赵彬、</w:t>
            </w:r>
            <w:r>
              <w:rPr>
                <w:rFonts w:hint="eastAsia" w:cs="Arial" w:asciiTheme="minorEastAsia" w:hAnsiTheme="minorEastAsia" w:eastAsiaTheme="minorEastAsia"/>
                <w:snapToGrid w:val="0"/>
                <w:color w:val="000000"/>
                <w:sz w:val="28"/>
                <w:szCs w:val="28"/>
                <w:lang w:val="en-US" w:eastAsia="zh-CN" w:bidi="ar-SA"/>
              </w:rPr>
              <w:t>施晓江、赵杰、高蔚、田小丹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4390" w:type="dxa"/>
          </w:tcPr>
          <w:p>
            <w:pPr>
              <w:pStyle w:val="20"/>
              <w:widowControl w:val="0"/>
              <w:ind w:left="0" w:leftChars="0" w:firstLine="0" w:firstLineChars="0"/>
              <w:jc w:val="both"/>
              <w:rPr>
                <w:rFonts w:hint="default"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6 场车应用系统</w:t>
            </w:r>
          </w:p>
        </w:tc>
        <w:tc>
          <w:tcPr>
            <w:tcW w:w="4390" w:type="dxa"/>
          </w:tcPr>
          <w:p>
            <w:pPr>
              <w:widowControl w:val="0"/>
              <w:ind w:left="0" w:leftChars="0" w:firstLine="0" w:firstLineChars="0"/>
              <w:jc w:val="both"/>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王毅、赵彬、</w:t>
            </w:r>
            <w:r>
              <w:rPr>
                <w:rFonts w:hint="eastAsia" w:cs="Arial" w:asciiTheme="minorEastAsia" w:hAnsiTheme="minorEastAsia" w:eastAsiaTheme="minorEastAsia"/>
                <w:snapToGrid w:val="0"/>
                <w:color w:val="000000"/>
                <w:sz w:val="28"/>
                <w:szCs w:val="28"/>
                <w:lang w:val="en-US" w:eastAsia="zh-CN" w:bidi="ar-SA"/>
              </w:rPr>
              <w:t>钱明铨、陈洪良、顾浩、陈诚、于栋、赵梓为、张金才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4390" w:type="dxa"/>
          </w:tcPr>
          <w:p>
            <w:pPr>
              <w:pStyle w:val="20"/>
              <w:widowControl w:val="0"/>
              <w:ind w:left="0" w:leftChars="0" w:firstLine="0" w:firstLineChars="0"/>
              <w:jc w:val="both"/>
              <w:rPr>
                <w:rFonts w:hint="default"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7 场车大数据平台</w:t>
            </w:r>
          </w:p>
        </w:tc>
        <w:tc>
          <w:tcPr>
            <w:tcW w:w="4390" w:type="dxa"/>
          </w:tcPr>
          <w:p>
            <w:pPr>
              <w:widowControl w:val="0"/>
              <w:ind w:left="0" w:leftChars="0" w:firstLine="0" w:firstLineChars="0"/>
              <w:jc w:val="both"/>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王毅、赵彬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4390" w:type="dxa"/>
          </w:tcPr>
          <w:p>
            <w:pPr>
              <w:pStyle w:val="20"/>
              <w:widowControl w:val="0"/>
              <w:ind w:left="0" w:leftChars="0" w:firstLine="0" w:firstLineChars="0"/>
              <w:jc w:val="both"/>
              <w:rPr>
                <w:rFonts w:hint="default"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8 数据交互</w:t>
            </w:r>
          </w:p>
        </w:tc>
        <w:tc>
          <w:tcPr>
            <w:tcW w:w="4390" w:type="dxa"/>
          </w:tcPr>
          <w:p>
            <w:pPr>
              <w:widowControl w:val="0"/>
              <w:ind w:left="0" w:leftChars="0" w:firstLine="0" w:firstLineChars="0"/>
              <w:jc w:val="both"/>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王毅、王宏、李强</w:t>
            </w:r>
            <w:r>
              <w:rPr>
                <w:rFonts w:hint="eastAsia" w:cs="Arial" w:asciiTheme="minorEastAsia" w:hAnsiTheme="minorEastAsia" w:eastAsiaTheme="minorEastAsia"/>
                <w:snapToGrid w:val="0"/>
                <w:color w:val="000000"/>
                <w:sz w:val="28"/>
                <w:szCs w:val="28"/>
                <w:lang w:val="en-US" w:eastAsia="zh-CN" w:bidi="ar-SA"/>
              </w:rPr>
              <w:t>、尹浩、唐潇璐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4390" w:type="dxa"/>
          </w:tcPr>
          <w:p>
            <w:pPr>
              <w:pStyle w:val="20"/>
              <w:widowControl w:val="0"/>
              <w:ind w:left="0" w:leftChars="0" w:firstLine="0" w:firstLineChars="0"/>
              <w:jc w:val="both"/>
              <w:rPr>
                <w:rFonts w:hint="default"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9 数据安全</w:t>
            </w:r>
          </w:p>
        </w:tc>
        <w:tc>
          <w:tcPr>
            <w:tcW w:w="4390" w:type="dxa"/>
          </w:tcPr>
          <w:p>
            <w:pPr>
              <w:widowControl w:val="0"/>
              <w:ind w:firstLine="560" w:firstLineChars="200"/>
              <w:jc w:val="both"/>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王毅、王宏、李强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4390" w:type="dxa"/>
          </w:tcPr>
          <w:p>
            <w:pPr>
              <w:pStyle w:val="20"/>
              <w:widowControl w:val="0"/>
              <w:ind w:left="0" w:leftChars="0" w:firstLine="0" w:firstLineChars="0"/>
              <w:jc w:val="both"/>
              <w:rPr>
                <w:rFonts w:hint="default"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10 评价验证方法</w:t>
            </w:r>
          </w:p>
        </w:tc>
        <w:tc>
          <w:tcPr>
            <w:tcW w:w="4390" w:type="dxa"/>
          </w:tcPr>
          <w:p>
            <w:pPr>
              <w:widowControl w:val="0"/>
              <w:ind w:firstLine="560" w:firstLineChars="200"/>
              <w:jc w:val="both"/>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王毅、赵杰、顾浩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4390" w:type="dxa"/>
          </w:tcPr>
          <w:p>
            <w:pPr>
              <w:pStyle w:val="20"/>
              <w:widowControl w:val="0"/>
              <w:ind w:left="0" w:leftChars="0" w:firstLine="0" w:firstLineChars="0"/>
              <w:jc w:val="both"/>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参考文献</w:t>
            </w:r>
          </w:p>
        </w:tc>
        <w:tc>
          <w:tcPr>
            <w:tcW w:w="4390" w:type="dxa"/>
          </w:tcPr>
          <w:p>
            <w:pPr>
              <w:widowControl w:val="0"/>
              <w:ind w:firstLine="560" w:firstLineChars="200"/>
              <w:jc w:val="both"/>
              <w:rPr>
                <w:rFonts w:hint="eastAsia" w:cs="Arial" w:asciiTheme="minorEastAsia" w:hAnsiTheme="minorEastAsia" w:eastAsiaTheme="minorEastAsia"/>
                <w:snapToGrid w:val="0"/>
                <w:color w:val="000000"/>
                <w:sz w:val="28"/>
                <w:szCs w:val="28"/>
                <w:vertAlign w:val="baseline"/>
                <w:lang w:val="en-US" w:eastAsia="zh-CN" w:bidi="ar-SA"/>
              </w:rPr>
            </w:pPr>
            <w:r>
              <w:rPr>
                <w:rFonts w:hint="eastAsia" w:cs="Arial" w:asciiTheme="minorEastAsia" w:hAnsiTheme="minorEastAsia" w:eastAsiaTheme="minorEastAsia"/>
                <w:snapToGrid w:val="0"/>
                <w:color w:val="000000"/>
                <w:sz w:val="28"/>
                <w:szCs w:val="28"/>
                <w:vertAlign w:val="baseline"/>
                <w:lang w:val="en-US" w:eastAsia="zh-CN" w:bidi="ar-SA"/>
              </w:rPr>
              <w:t>王毅、赵彬</w:t>
            </w:r>
          </w:p>
        </w:tc>
      </w:tr>
    </w:tbl>
    <w:p>
      <w:pPr>
        <w:spacing w:beforeLines="0" w:afterLines="0"/>
        <w:ind w:firstLine="0" w:firstLineChars="0"/>
        <w:rPr>
          <w:rFonts w:asciiTheme="minorEastAsia" w:hAnsiTheme="minorEastAsia" w:eastAsiaTheme="minorEastAsia"/>
          <w:szCs w:val="24"/>
        </w:rPr>
      </w:pPr>
    </w:p>
    <w:sectPr>
      <w:footerReference r:id="rId12"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ongti SC">
    <w:altName w:val="微软雅黑"/>
    <w:panose1 w:val="00000000000000000000"/>
    <w:charset w:val="86"/>
    <w:family w:val="auto"/>
    <w:pitch w:val="default"/>
    <w:sig w:usb0="00000000" w:usb1="00000000" w:usb2="00000000" w:usb3="00000000" w:csb0="00160000"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before="120"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before="120" w:after="1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before="120" w:after="120"/>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before="120" w:after="120"/>
      <w:ind w:firstLine="360"/>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
                            <w:spacing w:before="120" w:after="120"/>
                            <w:ind w:firstLine="36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8"/>
                      <w:spacing w:before="120" w:after="120"/>
                      <w:ind w:firstLine="36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BD4D3B"/>
    <w:multiLevelType w:val="singleLevel"/>
    <w:tmpl w:val="9EBD4D3B"/>
    <w:lvl w:ilvl="0" w:tentative="0">
      <w:start w:val="5"/>
      <w:numFmt w:val="decimal"/>
      <w:suff w:val="nothing"/>
      <w:lvlText w:val="（%1）"/>
      <w:lvlJc w:val="left"/>
    </w:lvl>
  </w:abstractNum>
  <w:abstractNum w:abstractNumId="1">
    <w:nsid w:val="A0C6C02B"/>
    <w:multiLevelType w:val="singleLevel"/>
    <w:tmpl w:val="A0C6C02B"/>
    <w:lvl w:ilvl="0" w:tentative="0">
      <w:start w:val="10"/>
      <w:numFmt w:val="decimal"/>
      <w:suff w:val="nothing"/>
      <w:lvlText w:val="（%1）"/>
      <w:lvlJc w:val="left"/>
    </w:lvl>
  </w:abstractNum>
  <w:abstractNum w:abstractNumId="2">
    <w:nsid w:val="F3BF4609"/>
    <w:multiLevelType w:val="singleLevel"/>
    <w:tmpl w:val="F3BF4609"/>
    <w:lvl w:ilvl="0" w:tentative="0">
      <w:start w:val="3"/>
      <w:numFmt w:val="chineseCounting"/>
      <w:suff w:val="nothing"/>
      <w:lvlText w:val="（%1）"/>
      <w:lvlJc w:val="left"/>
      <w:rPr>
        <w:rFonts w:hint="eastAsia"/>
      </w:rPr>
    </w:lvl>
  </w:abstractNum>
  <w:abstractNum w:abstractNumId="3">
    <w:nsid w:val="2C5917C3"/>
    <w:multiLevelType w:val="multilevel"/>
    <w:tmpl w:val="2C5917C3"/>
    <w:lvl w:ilvl="0" w:tentative="0">
      <w:start w:val="1"/>
      <w:numFmt w:val="none"/>
      <w:pStyle w:val="24"/>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5"/>
      <w:suff w:val="nothing"/>
      <w:lvlText w:val="%1%2　"/>
      <w:lvlJc w:val="left"/>
      <w:pPr>
        <w:ind w:left="1701" w:firstLine="0"/>
      </w:pPr>
      <w:rPr>
        <w:rFonts w:hint="eastAsia" w:ascii="黑体" w:eastAsia="黑体"/>
        <w:b w:val="0"/>
        <w:i w:val="0"/>
        <w:sz w:val="21"/>
      </w:rPr>
    </w:lvl>
    <w:lvl w:ilvl="2" w:tentative="0">
      <w:start w:val="1"/>
      <w:numFmt w:val="decimal"/>
      <w:pStyle w:val="26"/>
      <w:suff w:val="nothing"/>
      <w:lvlText w:val="%1%2.%3　"/>
      <w:lvlJc w:val="left"/>
      <w:pPr>
        <w:ind w:left="595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3"/>
      <w:suff w:val="nothing"/>
      <w:lvlText w:val="%1%2.%3.%4　"/>
      <w:lvlJc w:val="left"/>
      <w:pPr>
        <w:ind w:left="567" w:firstLine="0"/>
      </w:pPr>
      <w:rPr>
        <w:rFonts w:hint="eastAsia" w:ascii="黑体" w:eastAsia="黑体"/>
        <w:b w:val="0"/>
        <w:i w:val="0"/>
        <w:sz w:val="21"/>
      </w:rPr>
    </w:lvl>
    <w:lvl w:ilvl="4" w:tentative="0">
      <w:start w:val="1"/>
      <w:numFmt w:val="decimal"/>
      <w:suff w:val="nothing"/>
      <w:lvlText w:val="%1%2.%3.%4.%5　"/>
      <w:lvlJc w:val="left"/>
      <w:pPr>
        <w:ind w:left="2268"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71F6C8B4"/>
    <w:multiLevelType w:val="singleLevel"/>
    <w:tmpl w:val="71F6C8B4"/>
    <w:lvl w:ilvl="0" w:tentative="0">
      <w:start w:val="8"/>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iZGRkZjJjMTc5MGQ1ZDhjOTVjODQ0NDRiNDE4ZDMifQ=="/>
  </w:docVars>
  <w:rsids>
    <w:rsidRoot w:val="371791A6"/>
    <w:rsid w:val="00020AAD"/>
    <w:rsid w:val="0005134A"/>
    <w:rsid w:val="00054959"/>
    <w:rsid w:val="0005535C"/>
    <w:rsid w:val="00055BEE"/>
    <w:rsid w:val="000A4F6D"/>
    <w:rsid w:val="000D6DB6"/>
    <w:rsid w:val="000F6D22"/>
    <w:rsid w:val="001349C7"/>
    <w:rsid w:val="00150925"/>
    <w:rsid w:val="00162981"/>
    <w:rsid w:val="001A15FE"/>
    <w:rsid w:val="001A6C03"/>
    <w:rsid w:val="001B00C9"/>
    <w:rsid w:val="001C2D7E"/>
    <w:rsid w:val="001D4758"/>
    <w:rsid w:val="001F61D4"/>
    <w:rsid w:val="00200807"/>
    <w:rsid w:val="00205834"/>
    <w:rsid w:val="00247C5F"/>
    <w:rsid w:val="0026144C"/>
    <w:rsid w:val="002774F7"/>
    <w:rsid w:val="00290076"/>
    <w:rsid w:val="002911CC"/>
    <w:rsid w:val="002A6C85"/>
    <w:rsid w:val="002D12E6"/>
    <w:rsid w:val="002D7A69"/>
    <w:rsid w:val="002E1F0E"/>
    <w:rsid w:val="002E21AD"/>
    <w:rsid w:val="002E4414"/>
    <w:rsid w:val="002F06FB"/>
    <w:rsid w:val="002F0917"/>
    <w:rsid w:val="0031344F"/>
    <w:rsid w:val="00313997"/>
    <w:rsid w:val="003164F1"/>
    <w:rsid w:val="00321770"/>
    <w:rsid w:val="00325411"/>
    <w:rsid w:val="00340296"/>
    <w:rsid w:val="00340FE3"/>
    <w:rsid w:val="003423D9"/>
    <w:rsid w:val="003452C7"/>
    <w:rsid w:val="00356309"/>
    <w:rsid w:val="00357D74"/>
    <w:rsid w:val="00371260"/>
    <w:rsid w:val="003B609A"/>
    <w:rsid w:val="003C72FF"/>
    <w:rsid w:val="0041682E"/>
    <w:rsid w:val="004252A4"/>
    <w:rsid w:val="00477E47"/>
    <w:rsid w:val="004A1184"/>
    <w:rsid w:val="00514AB7"/>
    <w:rsid w:val="005A2C3C"/>
    <w:rsid w:val="00601994"/>
    <w:rsid w:val="00622C25"/>
    <w:rsid w:val="00626337"/>
    <w:rsid w:val="00633E4C"/>
    <w:rsid w:val="00635F56"/>
    <w:rsid w:val="00643491"/>
    <w:rsid w:val="00674C8A"/>
    <w:rsid w:val="006B2C98"/>
    <w:rsid w:val="006B53DE"/>
    <w:rsid w:val="006D30C6"/>
    <w:rsid w:val="006F56EB"/>
    <w:rsid w:val="00705470"/>
    <w:rsid w:val="00721FA5"/>
    <w:rsid w:val="0075295C"/>
    <w:rsid w:val="00781A3C"/>
    <w:rsid w:val="00790091"/>
    <w:rsid w:val="00792C3C"/>
    <w:rsid w:val="007D3896"/>
    <w:rsid w:val="008175D2"/>
    <w:rsid w:val="00832297"/>
    <w:rsid w:val="008741DC"/>
    <w:rsid w:val="00896BD9"/>
    <w:rsid w:val="008B3957"/>
    <w:rsid w:val="008C3E39"/>
    <w:rsid w:val="008D6E80"/>
    <w:rsid w:val="008E6816"/>
    <w:rsid w:val="009440C7"/>
    <w:rsid w:val="00944D8B"/>
    <w:rsid w:val="0096389C"/>
    <w:rsid w:val="009644FA"/>
    <w:rsid w:val="009B4551"/>
    <w:rsid w:val="009C25BC"/>
    <w:rsid w:val="009C5F77"/>
    <w:rsid w:val="009F2FEC"/>
    <w:rsid w:val="00A10F32"/>
    <w:rsid w:val="00A41284"/>
    <w:rsid w:val="00A707F6"/>
    <w:rsid w:val="00A717A7"/>
    <w:rsid w:val="00AA16A1"/>
    <w:rsid w:val="00AC0AE2"/>
    <w:rsid w:val="00AC317F"/>
    <w:rsid w:val="00AD15FE"/>
    <w:rsid w:val="00AE1282"/>
    <w:rsid w:val="00AF1D4F"/>
    <w:rsid w:val="00AF6576"/>
    <w:rsid w:val="00B00EA9"/>
    <w:rsid w:val="00B0153A"/>
    <w:rsid w:val="00B251AA"/>
    <w:rsid w:val="00B44E4E"/>
    <w:rsid w:val="00B854D1"/>
    <w:rsid w:val="00B90E66"/>
    <w:rsid w:val="00BA7644"/>
    <w:rsid w:val="00C32CAB"/>
    <w:rsid w:val="00C35FCA"/>
    <w:rsid w:val="00C5026D"/>
    <w:rsid w:val="00D3627F"/>
    <w:rsid w:val="00E62858"/>
    <w:rsid w:val="00E633D1"/>
    <w:rsid w:val="00E63554"/>
    <w:rsid w:val="00E636F4"/>
    <w:rsid w:val="00E738BA"/>
    <w:rsid w:val="00E81B34"/>
    <w:rsid w:val="00EA502E"/>
    <w:rsid w:val="00EC21FE"/>
    <w:rsid w:val="00ED3558"/>
    <w:rsid w:val="00EE341D"/>
    <w:rsid w:val="00F23EAD"/>
    <w:rsid w:val="00F268CD"/>
    <w:rsid w:val="00F30129"/>
    <w:rsid w:val="00F36FE8"/>
    <w:rsid w:val="00F509F6"/>
    <w:rsid w:val="00F56918"/>
    <w:rsid w:val="00F9481A"/>
    <w:rsid w:val="00FA6A5B"/>
    <w:rsid w:val="00FB0BEF"/>
    <w:rsid w:val="00FC72B1"/>
    <w:rsid w:val="00FD3F4D"/>
    <w:rsid w:val="02570810"/>
    <w:rsid w:val="0DF67486"/>
    <w:rsid w:val="14876419"/>
    <w:rsid w:val="152E24BB"/>
    <w:rsid w:val="16D012A0"/>
    <w:rsid w:val="1A8D02F5"/>
    <w:rsid w:val="1B371A34"/>
    <w:rsid w:val="1EFDFCBA"/>
    <w:rsid w:val="235F4B2E"/>
    <w:rsid w:val="26602A1A"/>
    <w:rsid w:val="26856150"/>
    <w:rsid w:val="27BC7F0B"/>
    <w:rsid w:val="29904515"/>
    <w:rsid w:val="2B620B9B"/>
    <w:rsid w:val="2E1E67B2"/>
    <w:rsid w:val="2E27452B"/>
    <w:rsid w:val="356272D3"/>
    <w:rsid w:val="36194C51"/>
    <w:rsid w:val="36376064"/>
    <w:rsid w:val="36781524"/>
    <w:rsid w:val="371791A6"/>
    <w:rsid w:val="37EF1BA2"/>
    <w:rsid w:val="3BEDDA51"/>
    <w:rsid w:val="3CE7436A"/>
    <w:rsid w:val="3E6EBFBD"/>
    <w:rsid w:val="3FC32DF9"/>
    <w:rsid w:val="3FF24EF7"/>
    <w:rsid w:val="47F87E33"/>
    <w:rsid w:val="4ACE49A7"/>
    <w:rsid w:val="4B9600FF"/>
    <w:rsid w:val="4BEE3BD5"/>
    <w:rsid w:val="4E2F0959"/>
    <w:rsid w:val="51D32698"/>
    <w:rsid w:val="56483FCE"/>
    <w:rsid w:val="575FF349"/>
    <w:rsid w:val="58AE49BA"/>
    <w:rsid w:val="59712A4B"/>
    <w:rsid w:val="597C9793"/>
    <w:rsid w:val="5DFF9719"/>
    <w:rsid w:val="5F254F8A"/>
    <w:rsid w:val="5FED780C"/>
    <w:rsid w:val="606946E0"/>
    <w:rsid w:val="618B07B2"/>
    <w:rsid w:val="61EE3757"/>
    <w:rsid w:val="645C6B71"/>
    <w:rsid w:val="65DE91DC"/>
    <w:rsid w:val="67126CFA"/>
    <w:rsid w:val="6BE01BB0"/>
    <w:rsid w:val="6E9E2DCE"/>
    <w:rsid w:val="6FC162A6"/>
    <w:rsid w:val="6FECB644"/>
    <w:rsid w:val="6FEF569B"/>
    <w:rsid w:val="75FF2CC5"/>
    <w:rsid w:val="7984217B"/>
    <w:rsid w:val="79BF73CB"/>
    <w:rsid w:val="7BFBDE63"/>
    <w:rsid w:val="7EB61690"/>
    <w:rsid w:val="7EBF3010"/>
    <w:rsid w:val="7FBF072E"/>
    <w:rsid w:val="7FC7AD4B"/>
    <w:rsid w:val="7FCF9591"/>
    <w:rsid w:val="7FE7A860"/>
    <w:rsid w:val="7FFFA8BD"/>
    <w:rsid w:val="AF7F5AAF"/>
    <w:rsid w:val="AFEF2529"/>
    <w:rsid w:val="B7EF0413"/>
    <w:rsid w:val="B9DE8C6A"/>
    <w:rsid w:val="BDDF87D5"/>
    <w:rsid w:val="BFFF6D9A"/>
    <w:rsid w:val="D2EEEA79"/>
    <w:rsid w:val="EBAF789C"/>
    <w:rsid w:val="EEAB54B7"/>
    <w:rsid w:val="EFFF5C29"/>
    <w:rsid w:val="F13701A1"/>
    <w:rsid w:val="F36BDF52"/>
    <w:rsid w:val="F4DF9A05"/>
    <w:rsid w:val="F675D38C"/>
    <w:rsid w:val="F6A63FBE"/>
    <w:rsid w:val="FDF625A7"/>
    <w:rsid w:val="FEFF581F"/>
    <w:rsid w:val="FF1E8289"/>
    <w:rsid w:val="FF66F84A"/>
    <w:rsid w:val="FFB964D1"/>
    <w:rsid w:val="FFFF87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beforeLines="50" w:afterLines="50" w:line="360" w:lineRule="auto"/>
      <w:ind w:firstLine="420" w:firstLineChars="200"/>
      <w:textAlignment w:val="baseline"/>
    </w:pPr>
    <w:rPr>
      <w:rFonts w:ascii="Arial" w:hAnsi="Arial" w:eastAsia="Songti SC" w:cs="Arial"/>
      <w:snapToGrid w:val="0"/>
      <w:color w:val="000000"/>
      <w:sz w:val="24"/>
      <w:szCs w:val="21"/>
      <w:lang w:val="en-US" w:eastAsia="zh-CN" w:bidi="ar-SA"/>
    </w:rPr>
  </w:style>
  <w:style w:type="paragraph" w:styleId="2">
    <w:name w:val="heading 1"/>
    <w:basedOn w:val="1"/>
    <w:next w:val="1"/>
    <w:autoRedefine/>
    <w:qFormat/>
    <w:uiPriority w:val="0"/>
    <w:pPr>
      <w:keepNext/>
      <w:keepLines/>
      <w:spacing w:beforeLines="0" w:afterLines="0" w:line="576" w:lineRule="auto"/>
      <w:outlineLvl w:val="0"/>
    </w:pPr>
    <w:rPr>
      <w:b/>
      <w:kern w:val="44"/>
      <w:sz w:val="44"/>
    </w:rPr>
  </w:style>
  <w:style w:type="paragraph" w:styleId="3">
    <w:name w:val="heading 2"/>
    <w:basedOn w:val="1"/>
    <w:next w:val="1"/>
    <w:autoRedefine/>
    <w:unhideWhenUsed/>
    <w:qFormat/>
    <w:uiPriority w:val="0"/>
    <w:pPr>
      <w:keepNext/>
      <w:keepLines/>
      <w:spacing w:beforeLines="0" w:afterLines="0" w:line="413" w:lineRule="auto"/>
      <w:outlineLvl w:val="1"/>
    </w:pPr>
    <w:rPr>
      <w:rFonts w:eastAsia="黑体"/>
      <w:b/>
      <w:sz w:val="32"/>
    </w:rPr>
  </w:style>
  <w:style w:type="paragraph" w:styleId="4">
    <w:name w:val="heading 3"/>
    <w:basedOn w:val="1"/>
    <w:next w:val="1"/>
    <w:link w:val="32"/>
    <w:autoRedefine/>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33"/>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Document Map"/>
    <w:basedOn w:val="1"/>
    <w:link w:val="17"/>
    <w:autoRedefine/>
    <w:qFormat/>
    <w:uiPriority w:val="0"/>
    <w:pPr>
      <w:ind w:firstLine="0" w:firstLineChars="0"/>
    </w:pPr>
    <w:rPr>
      <w:rFonts w:ascii="宋体" w:hAnsi="宋体"/>
      <w:sz w:val="18"/>
      <w:szCs w:val="18"/>
    </w:rPr>
  </w:style>
  <w:style w:type="paragraph" w:styleId="7">
    <w:name w:val="Balloon Text"/>
    <w:basedOn w:val="1"/>
    <w:link w:val="28"/>
    <w:autoRedefine/>
    <w:qFormat/>
    <w:uiPriority w:val="0"/>
    <w:pPr>
      <w:spacing w:line="240" w:lineRule="auto"/>
    </w:pPr>
    <w:rPr>
      <w:sz w:val="18"/>
      <w:szCs w:val="18"/>
    </w:rPr>
  </w:style>
  <w:style w:type="paragraph" w:styleId="8">
    <w:name w:val="footer"/>
    <w:basedOn w:val="1"/>
    <w:autoRedefine/>
    <w:qFormat/>
    <w:uiPriority w:val="0"/>
    <w:pPr>
      <w:tabs>
        <w:tab w:val="center" w:pos="4153"/>
        <w:tab w:val="right" w:pos="8306"/>
      </w:tabs>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jc w:val="both"/>
    </w:pPr>
    <w:rPr>
      <w:sz w:val="18"/>
    </w:rPr>
  </w:style>
  <w:style w:type="paragraph" w:styleId="10">
    <w:name w:val="toc 1"/>
    <w:basedOn w:val="1"/>
    <w:next w:val="1"/>
    <w:autoRedefine/>
    <w:qFormat/>
    <w:uiPriority w:val="0"/>
  </w:style>
  <w:style w:type="paragraph" w:styleId="11">
    <w:name w:val="Body Text 2"/>
    <w:basedOn w:val="1"/>
    <w:link w:val="18"/>
    <w:autoRedefine/>
    <w:qFormat/>
    <w:uiPriority w:val="0"/>
    <w:pPr>
      <w:adjustRightInd/>
      <w:snapToGrid/>
      <w:ind w:firstLine="883"/>
    </w:pPr>
    <w:rPr>
      <w:rFonts w:ascii="仿宋_GB2312" w:hAnsi="仿宋_GB2312" w:eastAsia="仿宋_GB2312"/>
    </w:rPr>
  </w:style>
  <w:style w:type="paragraph" w:styleId="12">
    <w:name w:val="Title"/>
    <w:basedOn w:val="1"/>
    <w:autoRedefine/>
    <w:qFormat/>
    <w:uiPriority w:val="10"/>
    <w:pPr>
      <w:spacing w:beforeLines="0" w:afterLines="0"/>
      <w:jc w:val="center"/>
      <w:outlineLvl w:val="0"/>
    </w:pPr>
    <w:rPr>
      <w:b/>
      <w:sz w:val="32"/>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autoRedefine/>
    <w:qFormat/>
    <w:uiPriority w:val="0"/>
    <w:rPr>
      <w:i/>
    </w:rPr>
  </w:style>
  <w:style w:type="character" w:customStyle="1" w:styleId="17">
    <w:name w:val="文档结构图 Char"/>
    <w:basedOn w:val="15"/>
    <w:link w:val="6"/>
    <w:autoRedefine/>
    <w:qFormat/>
    <w:uiPriority w:val="0"/>
    <w:rPr>
      <w:rFonts w:ascii="宋体" w:hAnsi="宋体" w:eastAsia="黑体"/>
      <w:kern w:val="2"/>
      <w:sz w:val="18"/>
      <w:szCs w:val="18"/>
    </w:rPr>
  </w:style>
  <w:style w:type="character" w:customStyle="1" w:styleId="18">
    <w:name w:val="正文文本 2 Char"/>
    <w:link w:val="11"/>
    <w:autoRedefine/>
    <w:qFormat/>
    <w:uiPriority w:val="0"/>
    <w:rPr>
      <w:rFonts w:ascii="仿宋_GB2312" w:hAnsi="仿宋_GB2312" w:eastAsia="仿宋_GB2312"/>
      <w:sz w:val="24"/>
      <w:szCs w:val="21"/>
      <w:lang w:val="en-US" w:eastAsia="zh-CN" w:bidi="ar-SA"/>
    </w:rPr>
  </w:style>
  <w:style w:type="paragraph" w:customStyle="1" w:styleId="19">
    <w:name w:val="标准文件_文件名称"/>
    <w:basedOn w:val="20"/>
    <w:next w:val="2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
    <w:name w:val="标准文件_段"/>
    <w:link w:val="31"/>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2">
    <w:name w:val="标准文件_二级无标题"/>
    <w:basedOn w:val="23"/>
    <w:autoRedefine/>
    <w:qFormat/>
    <w:uiPriority w:val="0"/>
    <w:pPr>
      <w:spacing w:beforeLines="0" w:afterLines="0"/>
      <w:outlineLvl w:val="9"/>
    </w:pPr>
    <w:rPr>
      <w:rFonts w:ascii="宋体" w:eastAsia="宋体"/>
    </w:rPr>
  </w:style>
  <w:style w:type="paragraph" w:customStyle="1" w:styleId="23">
    <w:name w:val="标准文件_二级条标题"/>
    <w:next w:val="20"/>
    <w:autoRedefine/>
    <w:qFormat/>
    <w:uiPriority w:val="0"/>
    <w:pPr>
      <w:widowControl w:val="0"/>
      <w:numPr>
        <w:ilvl w:val="3"/>
        <w:numId w:val="1"/>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24">
    <w:name w:val="标准文件_一级项"/>
    <w:autoRedefine/>
    <w:qFormat/>
    <w:uiPriority w:val="0"/>
    <w:pPr>
      <w:numPr>
        <w:ilvl w:val="0"/>
        <w:numId w:val="2"/>
      </w:numPr>
    </w:pPr>
    <w:rPr>
      <w:rFonts w:ascii="宋体" w:hAnsi="Times New Roman" w:eastAsia="宋体" w:cs="Times New Roman"/>
      <w:sz w:val="21"/>
      <w:lang w:val="en-US" w:eastAsia="zh-CN" w:bidi="ar-SA"/>
    </w:rPr>
  </w:style>
  <w:style w:type="paragraph" w:customStyle="1" w:styleId="25">
    <w:name w:val="标准文件_章标题"/>
    <w:next w:val="20"/>
    <w:autoRedefine/>
    <w:qFormat/>
    <w:uiPriority w:val="0"/>
    <w:pPr>
      <w:numPr>
        <w:ilvl w:val="1"/>
        <w:numId w:val="1"/>
      </w:numPr>
      <w:spacing w:beforeLines="100" w:afterLines="100"/>
      <w:ind w:left="0"/>
      <w:jc w:val="both"/>
      <w:outlineLvl w:val="0"/>
    </w:pPr>
    <w:rPr>
      <w:rFonts w:ascii="黑体" w:hAnsi="Times New Roman" w:eastAsia="黑体" w:cs="Times New Roman"/>
      <w:sz w:val="21"/>
      <w:lang w:val="en-US" w:eastAsia="zh-CN" w:bidi="ar-SA"/>
    </w:rPr>
  </w:style>
  <w:style w:type="paragraph" w:customStyle="1" w:styleId="26">
    <w:name w:val="标准文件_一级条标题"/>
    <w:basedOn w:val="25"/>
    <w:next w:val="20"/>
    <w:autoRedefine/>
    <w:qFormat/>
    <w:uiPriority w:val="0"/>
    <w:pPr>
      <w:numPr>
        <w:ilvl w:val="2"/>
      </w:numPr>
      <w:spacing w:beforeLines="50" w:afterLines="50"/>
      <w:ind w:left="0"/>
      <w:outlineLvl w:val="1"/>
    </w:pPr>
  </w:style>
  <w:style w:type="paragraph" w:customStyle="1" w:styleId="27">
    <w:name w:val="WPSOffice手动目录 1"/>
    <w:autoRedefine/>
    <w:qFormat/>
    <w:uiPriority w:val="0"/>
    <w:rPr>
      <w:rFonts w:ascii="Times New Roman" w:hAnsi="Times New Roman" w:eastAsia="宋体" w:cs="Times New Roman"/>
      <w:lang w:val="en-US" w:eastAsia="zh-CN" w:bidi="ar-SA"/>
    </w:rPr>
  </w:style>
  <w:style w:type="character" w:customStyle="1" w:styleId="28">
    <w:name w:val="批注框文本 Char"/>
    <w:basedOn w:val="15"/>
    <w:link w:val="7"/>
    <w:autoRedefine/>
    <w:qFormat/>
    <w:uiPriority w:val="0"/>
    <w:rPr>
      <w:rFonts w:ascii="Arial" w:hAnsi="Arial" w:eastAsia="Songti SC" w:cs="Arial"/>
      <w:snapToGrid w:val="0"/>
      <w:color w:val="000000"/>
      <w:sz w:val="18"/>
      <w:szCs w:val="18"/>
    </w:rPr>
  </w:style>
  <w:style w:type="paragraph" w:styleId="29">
    <w:name w:val="List Paragraph"/>
    <w:basedOn w:val="1"/>
    <w:autoRedefine/>
    <w:qFormat/>
    <w:uiPriority w:val="1"/>
    <w:pPr>
      <w:snapToGrid/>
      <w:spacing w:line="240" w:lineRule="auto"/>
      <w:ind w:left="111" w:firstLine="0"/>
    </w:pPr>
    <w:rPr>
      <w:rFonts w:ascii="Arial Unicode MS" w:hAnsi="Arial Unicode MS" w:eastAsia="Arial Unicode MS" w:cs="Arial Unicode MS"/>
      <w:snapToGrid/>
      <w:sz w:val="22"/>
      <w:szCs w:val="22"/>
      <w:lang w:val="zh-CN" w:bidi="zh-CN"/>
    </w:rPr>
  </w:style>
  <w:style w:type="paragraph" w:customStyle="1" w:styleId="30">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31">
    <w:name w:val="标准文件_段 Char"/>
    <w:link w:val="20"/>
    <w:autoRedefine/>
    <w:qFormat/>
    <w:uiPriority w:val="0"/>
    <w:rPr>
      <w:rFonts w:ascii="宋体"/>
      <w:sz w:val="21"/>
    </w:rPr>
  </w:style>
  <w:style w:type="character" w:customStyle="1" w:styleId="32">
    <w:name w:val="标题 3 Char"/>
    <w:basedOn w:val="15"/>
    <w:link w:val="4"/>
    <w:autoRedefine/>
    <w:semiHidden/>
    <w:qFormat/>
    <w:uiPriority w:val="0"/>
    <w:rPr>
      <w:rFonts w:ascii="Arial" w:hAnsi="Arial" w:eastAsia="Songti SC" w:cs="Arial"/>
      <w:b/>
      <w:bCs/>
      <w:snapToGrid w:val="0"/>
      <w:color w:val="000000"/>
      <w:sz w:val="32"/>
      <w:szCs w:val="32"/>
    </w:rPr>
  </w:style>
  <w:style w:type="character" w:customStyle="1" w:styleId="33">
    <w:name w:val="标题 4 Char"/>
    <w:basedOn w:val="15"/>
    <w:link w:val="5"/>
    <w:autoRedefine/>
    <w:semiHidden/>
    <w:qFormat/>
    <w:uiPriority w:val="0"/>
    <w:rPr>
      <w:rFonts w:asciiTheme="majorHAnsi" w:hAnsiTheme="majorHAnsi" w:eastAsiaTheme="majorEastAsia" w:cstheme="majorBidi"/>
      <w:b/>
      <w:bCs/>
      <w:snapToGrid w:val="0"/>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7332</Words>
  <Characters>7621</Characters>
  <Lines>38</Lines>
  <Paragraphs>10</Paragraphs>
  <TotalTime>7</TotalTime>
  <ScaleCrop>false</ScaleCrop>
  <LinksUpToDate>false</LinksUpToDate>
  <CharactersWithSpaces>7909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2024-02-07T07:53:00Z</dcterms:created>
  <dc:creator>周媛</dc:creator>
  <cp:lastModifiedBy>时样锦</cp:lastModifiedBy>
  <cp:lastPrinted>2024-02-07T07:54:00Z</cp:lastPrinted>
  <dcterms:modified xsi:type="dcterms:W3CDTF">2024-10-22T05:35:34Z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7F9C191456324AD5AA55E62670002DB4_13</vt:lpwstr>
  </property>
</Properties>
</file>